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4BC2E">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rPr>
          <w:rFonts w:hint="eastAsia" w:ascii="方正小标宋简体" w:eastAsia="方正小标宋简体"/>
          <w:color w:val="auto"/>
          <w:kern w:val="0"/>
          <w:sz w:val="44"/>
          <w:szCs w:val="44"/>
          <w:lang w:val="en-US" w:eastAsia="zh-CN"/>
        </w:rPr>
      </w:pPr>
    </w:p>
    <w:p w14:paraId="51A2A90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rPr>
          <w:rFonts w:hint="eastAsia" w:ascii="方正小标宋简体" w:eastAsia="方正小标宋简体"/>
          <w:color w:val="auto"/>
          <w:kern w:val="0"/>
          <w:sz w:val="44"/>
          <w:szCs w:val="44"/>
          <w:lang w:val="en-US" w:eastAsia="zh-CN"/>
        </w:rPr>
      </w:pPr>
      <w:r>
        <w:rPr>
          <w:rFonts w:hint="eastAsia" w:ascii="方正小标宋简体" w:eastAsia="方正小标宋简体"/>
          <w:color w:val="auto"/>
          <w:kern w:val="0"/>
          <w:sz w:val="44"/>
          <w:szCs w:val="44"/>
        </w:rPr>
        <w:t>关于</w:t>
      </w:r>
      <w:r>
        <w:rPr>
          <w:rFonts w:hint="eastAsia" w:ascii="方正小标宋简体" w:eastAsia="方正小标宋简体"/>
          <w:color w:val="auto"/>
          <w:kern w:val="0"/>
          <w:sz w:val="44"/>
          <w:szCs w:val="44"/>
          <w:lang w:val="en-US" w:eastAsia="zh-CN"/>
        </w:rPr>
        <w:t>做好“十四五”普通高等教育本科国家级规划教材第一次推荐遴选工作的</w:t>
      </w:r>
    </w:p>
    <w:p w14:paraId="06BBCA8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rPr>
          <w:rFonts w:hint="default" w:ascii="方正小标宋简体" w:eastAsia="方正小标宋简体"/>
          <w:color w:val="auto"/>
          <w:kern w:val="0"/>
          <w:sz w:val="44"/>
          <w:szCs w:val="44"/>
          <w:lang w:val="en-US" w:eastAsia="zh-CN"/>
        </w:rPr>
      </w:pPr>
      <w:r>
        <w:rPr>
          <w:rFonts w:hint="eastAsia" w:ascii="方正小标宋简体" w:eastAsia="方正小标宋简体"/>
          <w:color w:val="auto"/>
          <w:kern w:val="0"/>
          <w:sz w:val="44"/>
          <w:szCs w:val="44"/>
          <w:lang w:val="en-US" w:eastAsia="zh-CN"/>
        </w:rPr>
        <w:t>预备通知</w:t>
      </w:r>
    </w:p>
    <w:p w14:paraId="6384F17B">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jc w:val="center"/>
        <w:textAlignment w:val="auto"/>
        <w:rPr>
          <w:rFonts w:hint="eastAsia" w:ascii="仿宋_GB2312" w:eastAsia="仿宋_GB2312"/>
          <w:color w:val="auto"/>
          <w:kern w:val="0"/>
          <w:sz w:val="32"/>
          <w:szCs w:val="32"/>
        </w:rPr>
      </w:pPr>
    </w:p>
    <w:p w14:paraId="3B9AFBA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0" w:firstLineChars="0"/>
        <w:textAlignment w:val="auto"/>
        <w:rPr>
          <w:rFonts w:hint="eastAsia"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各省属本科高等学校：</w:t>
      </w:r>
    </w:p>
    <w:p w14:paraId="0385DF8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default"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为深入贯彻党的二十大精神，全面落实党的教育方针，加强教材建设与管理，根据《“十四五”普通高等教育本科国家级规划教材建设实施方案》（教高厅〔2023〕1号）和《教育部办公厅关于开展“十四五”普通高等教育本科国家级规划教材第一次推荐遴选工作的通知》（教高厅函〔2024〕9号）有关要求，结合我省工作实际，经研究，决定组织开展山东省“十四五”普通高等教育本科国家级规划教材第一次推荐遴选工作。现将有关事项通知如下。</w:t>
      </w:r>
    </w:p>
    <w:p w14:paraId="74EDF6C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一、申报范围</w:t>
      </w:r>
    </w:p>
    <w:p w14:paraId="271AED74">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lang w:val="en-US" w:eastAsia="zh-CN"/>
        </w:rPr>
        <w:t>一</w:t>
      </w: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rPr>
        <w:t>2022年12月以来，国内出版、修订或重印（以版权页的版次、印次时间为准），正在我国全日制普通高等学校本科教学活动中使用的教材。</w:t>
      </w:r>
    </w:p>
    <w:p w14:paraId="4436CC70">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231F20"/>
          <w:spacing w:val="0"/>
          <w:w w:val="100"/>
          <w:kern w:val="0"/>
          <w:position w:val="0"/>
          <w:sz w:val="32"/>
          <w:szCs w:val="32"/>
          <w:highlight w:val="yellow"/>
          <w:lang w:eastAsia="zh-CN"/>
        </w:rPr>
      </w:pP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lang w:val="en-US" w:eastAsia="zh-CN"/>
        </w:rPr>
        <w:t>二</w:t>
      </w:r>
      <w:r>
        <w:rPr>
          <w:rFonts w:hint="eastAsia" w:ascii="仿宋_GB2312" w:hAnsi="仿宋_GB2312" w:eastAsia="仿宋_GB2312" w:cs="仿宋_GB2312"/>
          <w:snapToGrid w:val="0"/>
          <w:color w:val="231F20"/>
          <w:spacing w:val="0"/>
          <w:w w:val="100"/>
          <w:kern w:val="0"/>
          <w:position w:val="0"/>
          <w:sz w:val="32"/>
          <w:szCs w:val="32"/>
          <w:lang w:eastAsia="zh-CN"/>
        </w:rPr>
        <w:t>）经中央有关部门审定的教材、已立项建设并正式出版的“101计划”等核心教材、“四新”（新工科、新医科、新农科、新文科）重点建设教材（含战略性新兴领域教材）参与本次推荐，不占用申报单位教材推荐额度，不受2年教学周期限制。符合申报要求的首届全国教材建设奖优秀教材（高等教育类）可参与本次推荐，占用申报单位教材推荐额度。</w:t>
      </w:r>
      <w:r>
        <w:rPr>
          <w:rFonts w:hint="eastAsia" w:ascii="仿宋_GB2312" w:hAnsi="仿宋_GB2312" w:eastAsia="仿宋_GB2312" w:cs="仿宋_GB2312"/>
          <w:snapToGrid w:val="0"/>
          <w:color w:val="231F20"/>
          <w:spacing w:val="0"/>
          <w:w w:val="100"/>
          <w:kern w:val="0"/>
          <w:position w:val="0"/>
          <w:sz w:val="32"/>
          <w:szCs w:val="32"/>
          <w:lang w:val="en-US" w:eastAsia="zh-CN"/>
        </w:rPr>
        <w:t>此类</w:t>
      </w:r>
      <w:r>
        <w:rPr>
          <w:rFonts w:hint="eastAsia" w:ascii="仿宋_GB2312" w:hAnsi="仿宋_GB2312" w:eastAsia="仿宋_GB2312" w:cs="仿宋_GB2312"/>
          <w:snapToGrid w:val="0"/>
          <w:color w:val="231F20"/>
          <w:spacing w:val="0"/>
          <w:w w:val="100"/>
          <w:kern w:val="0"/>
          <w:position w:val="0"/>
          <w:sz w:val="32"/>
          <w:szCs w:val="32"/>
          <w:lang w:eastAsia="zh-CN"/>
        </w:rPr>
        <w:t>教材由</w:t>
      </w:r>
      <w:r>
        <w:rPr>
          <w:rFonts w:hint="eastAsia" w:ascii="仿宋_GB2312" w:hAnsi="仿宋_GB2312" w:eastAsia="仿宋_GB2312" w:cs="仿宋_GB2312"/>
          <w:snapToGrid w:val="0"/>
          <w:color w:val="231F20"/>
          <w:spacing w:val="0"/>
          <w:w w:val="100"/>
          <w:kern w:val="0"/>
          <w:position w:val="0"/>
          <w:sz w:val="32"/>
          <w:szCs w:val="32"/>
          <w:lang w:val="en-US" w:eastAsia="zh-CN"/>
        </w:rPr>
        <w:t>我厅</w:t>
      </w:r>
      <w:r>
        <w:rPr>
          <w:rFonts w:hint="eastAsia" w:ascii="仿宋_GB2312" w:hAnsi="仿宋_GB2312" w:eastAsia="仿宋_GB2312" w:cs="仿宋_GB2312"/>
          <w:snapToGrid w:val="0"/>
          <w:color w:val="231F20"/>
          <w:spacing w:val="0"/>
          <w:w w:val="100"/>
          <w:kern w:val="0"/>
          <w:position w:val="0"/>
          <w:sz w:val="32"/>
          <w:szCs w:val="32"/>
          <w:lang w:eastAsia="zh-CN"/>
        </w:rPr>
        <w:t>审核后</w:t>
      </w:r>
      <w:r>
        <w:rPr>
          <w:rFonts w:hint="eastAsia" w:ascii="仿宋_GB2312" w:hAnsi="仿宋_GB2312" w:eastAsia="仿宋_GB2312" w:cs="仿宋_GB2312"/>
          <w:snapToGrid w:val="0"/>
          <w:color w:val="231F20"/>
          <w:spacing w:val="0"/>
          <w:w w:val="100"/>
          <w:kern w:val="0"/>
          <w:position w:val="0"/>
          <w:sz w:val="32"/>
          <w:szCs w:val="32"/>
          <w:lang w:val="en-US" w:eastAsia="zh-CN"/>
        </w:rPr>
        <w:t>直接</w:t>
      </w:r>
      <w:r>
        <w:rPr>
          <w:rFonts w:hint="eastAsia" w:ascii="仿宋_GB2312" w:hAnsi="仿宋_GB2312" w:eastAsia="仿宋_GB2312" w:cs="仿宋_GB2312"/>
          <w:snapToGrid w:val="0"/>
          <w:color w:val="231F20"/>
          <w:spacing w:val="0"/>
          <w:w w:val="100"/>
          <w:kern w:val="0"/>
          <w:position w:val="0"/>
          <w:sz w:val="32"/>
          <w:szCs w:val="32"/>
          <w:lang w:eastAsia="zh-CN"/>
        </w:rPr>
        <w:t>向教育部报送。</w:t>
      </w:r>
    </w:p>
    <w:p w14:paraId="3480E33F">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ascii="黑体" w:hAnsi="黑体" w:eastAsia="黑体" w:cs="黑体"/>
          <w:color w:val="auto"/>
          <w:kern w:val="0"/>
          <w:sz w:val="32"/>
          <w:szCs w:val="32"/>
          <w:lang w:val="en-US" w:eastAsia="zh-CN"/>
        </w:rPr>
      </w:pP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lang w:val="en-US" w:eastAsia="zh-CN"/>
        </w:rPr>
        <w:t>三</w:t>
      </w: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rPr>
        <w:t>马克思主义理论研究和建设工程重点教材，高等职业教育本科和成人高等教育本科教材，各类教学活动中使用的学术专著、教学参考书、教辅用书、培训类教材，译自国家通用语言文字版教材的少数民族文字教材，引进的国外教材（含翻译教材），与教材配套的图册和活动手册等不在推荐范围内。</w:t>
      </w:r>
    </w:p>
    <w:p w14:paraId="13836861">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default" w:ascii="黑体" w:hAnsi="黑体" w:eastAsia="黑体" w:cs="黑体"/>
          <w:color w:val="auto"/>
          <w:kern w:val="0"/>
          <w:sz w:val="32"/>
          <w:szCs w:val="32"/>
          <w:lang w:val="en-US"/>
        </w:rPr>
      </w:pPr>
      <w:r>
        <w:rPr>
          <w:rFonts w:hint="eastAsia" w:ascii="黑体" w:hAnsi="黑体" w:eastAsia="黑体" w:cs="黑体"/>
          <w:color w:val="auto"/>
          <w:kern w:val="0"/>
          <w:sz w:val="32"/>
          <w:szCs w:val="32"/>
          <w:lang w:val="en-US" w:eastAsia="zh-CN"/>
        </w:rPr>
        <w:t>二、申报条件</w:t>
      </w:r>
    </w:p>
    <w:p w14:paraId="779F708E">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楷体_GB2312" w:hAnsi="楷体_GB2312" w:eastAsia="楷体_GB2312" w:cs="楷体_GB2312"/>
          <w:snapToGrid w:val="0"/>
          <w:color w:val="231F20"/>
          <w:spacing w:val="0"/>
          <w:w w:val="100"/>
          <w:kern w:val="0"/>
          <w:position w:val="0"/>
          <w:sz w:val="32"/>
          <w:szCs w:val="32"/>
        </w:rPr>
        <w:t>（一）坚持价值引领。</w:t>
      </w:r>
      <w:r>
        <w:rPr>
          <w:rFonts w:hint="eastAsia" w:ascii="仿宋_GB2312" w:hAnsi="仿宋_GB2312" w:eastAsia="仿宋_GB2312" w:cs="仿宋_GB2312"/>
          <w:snapToGrid w:val="0"/>
          <w:color w:val="231F20"/>
          <w:spacing w:val="0"/>
          <w:w w:val="100"/>
          <w:kern w:val="0"/>
          <w:position w:val="0"/>
          <w:sz w:val="32"/>
          <w:szCs w:val="32"/>
        </w:rPr>
        <w:t>将党的理论创新成果特别是习近平新时代中国特色社会主义思想贯穿教材始终，体现党和国家对教育的基本要求，体现国家和民族基本价值观。</w:t>
      </w:r>
    </w:p>
    <w:p w14:paraId="7BC00636">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楷体_GB2312" w:hAnsi="楷体_GB2312" w:eastAsia="楷体_GB2312" w:cs="楷体_GB2312"/>
          <w:snapToGrid w:val="0"/>
          <w:color w:val="231F20"/>
          <w:spacing w:val="0"/>
          <w:w w:val="100"/>
          <w:kern w:val="0"/>
          <w:position w:val="0"/>
          <w:sz w:val="32"/>
          <w:szCs w:val="32"/>
        </w:rPr>
        <w:t>（二）坚持应用为要。</w:t>
      </w:r>
      <w:r>
        <w:rPr>
          <w:rFonts w:hint="eastAsia" w:ascii="仿宋_GB2312" w:hAnsi="仿宋_GB2312" w:eastAsia="仿宋_GB2312" w:cs="仿宋_GB2312"/>
          <w:snapToGrid w:val="0"/>
          <w:color w:val="231F20"/>
          <w:spacing w:val="0"/>
          <w:w w:val="100"/>
          <w:kern w:val="0"/>
          <w:position w:val="0"/>
          <w:sz w:val="32"/>
          <w:szCs w:val="32"/>
        </w:rPr>
        <w:t>在各类高校或专业领域选用范围广，师生认可度高。</w:t>
      </w:r>
      <w:r>
        <w:rPr>
          <w:rFonts w:hint="eastAsia" w:ascii="仿宋_GB2312" w:hAnsi="仿宋_GB2312" w:eastAsia="仿宋_GB2312" w:cs="仿宋_GB2312"/>
          <w:b w:val="0"/>
          <w:bCs w:val="0"/>
          <w:snapToGrid w:val="0"/>
          <w:color w:val="231F20"/>
          <w:spacing w:val="0"/>
          <w:w w:val="100"/>
          <w:kern w:val="0"/>
          <w:position w:val="0"/>
          <w:sz w:val="32"/>
          <w:szCs w:val="32"/>
        </w:rPr>
        <w:t>原则上经过</w:t>
      </w:r>
      <w:r>
        <w:rPr>
          <w:rFonts w:hint="eastAsia" w:ascii="仿宋_GB2312" w:hAnsi="仿宋_GB2312" w:eastAsia="仿宋_GB2312" w:cs="仿宋_GB2312"/>
          <w:b w:val="0"/>
          <w:bCs w:val="0"/>
          <w:snapToGrid w:val="0"/>
          <w:color w:val="231F20"/>
          <w:spacing w:val="0"/>
          <w:w w:val="100"/>
          <w:kern w:val="0"/>
          <w:position w:val="0"/>
          <w:sz w:val="32"/>
          <w:szCs w:val="32"/>
          <w:lang w:val="en-US" w:eastAsia="zh-CN"/>
        </w:rPr>
        <w:t>2</w:t>
      </w:r>
      <w:r>
        <w:rPr>
          <w:rFonts w:hint="eastAsia" w:ascii="仿宋_GB2312" w:hAnsi="仿宋_GB2312" w:eastAsia="仿宋_GB2312" w:cs="仿宋_GB2312"/>
          <w:b w:val="0"/>
          <w:bCs w:val="0"/>
          <w:snapToGrid w:val="0"/>
          <w:color w:val="231F20"/>
          <w:spacing w:val="0"/>
          <w:w w:val="100"/>
          <w:kern w:val="0"/>
          <w:position w:val="0"/>
          <w:sz w:val="32"/>
          <w:szCs w:val="32"/>
        </w:rPr>
        <w:t>年以上（含</w:t>
      </w:r>
      <w:r>
        <w:rPr>
          <w:rFonts w:hint="eastAsia" w:ascii="仿宋_GB2312" w:hAnsi="仿宋_GB2312" w:eastAsia="仿宋_GB2312" w:cs="仿宋_GB2312"/>
          <w:b w:val="0"/>
          <w:bCs w:val="0"/>
          <w:snapToGrid w:val="0"/>
          <w:color w:val="231F20"/>
          <w:spacing w:val="0"/>
          <w:w w:val="100"/>
          <w:kern w:val="0"/>
          <w:position w:val="0"/>
          <w:sz w:val="32"/>
          <w:szCs w:val="32"/>
          <w:lang w:val="en-US" w:eastAsia="zh-CN"/>
        </w:rPr>
        <w:t>2</w:t>
      </w:r>
      <w:r>
        <w:rPr>
          <w:rFonts w:hint="eastAsia" w:ascii="仿宋_GB2312" w:hAnsi="仿宋_GB2312" w:eastAsia="仿宋_GB2312" w:cs="仿宋_GB2312"/>
          <w:b w:val="0"/>
          <w:bCs w:val="0"/>
          <w:snapToGrid w:val="0"/>
          <w:color w:val="231F20"/>
          <w:spacing w:val="0"/>
          <w:w w:val="100"/>
          <w:kern w:val="0"/>
          <w:position w:val="0"/>
          <w:sz w:val="32"/>
          <w:szCs w:val="32"/>
        </w:rPr>
        <w:t>年）教育教学实践检验</w:t>
      </w:r>
      <w:r>
        <w:rPr>
          <w:rFonts w:hint="eastAsia" w:ascii="仿宋_GB2312" w:hAnsi="仿宋_GB2312" w:eastAsia="仿宋_GB2312" w:cs="仿宋_GB2312"/>
          <w:snapToGrid w:val="0"/>
          <w:color w:val="231F20"/>
          <w:spacing w:val="0"/>
          <w:w w:val="100"/>
          <w:kern w:val="0"/>
          <w:position w:val="0"/>
          <w:sz w:val="32"/>
          <w:szCs w:val="32"/>
        </w:rPr>
        <w:t>（同一种教材不同版次的使用时间可累计计算）。</w:t>
      </w:r>
    </w:p>
    <w:p w14:paraId="44080F9D">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楷体_GB2312" w:hAnsi="楷体_GB2312" w:eastAsia="楷体_GB2312" w:cs="楷体_GB2312"/>
          <w:snapToGrid w:val="0"/>
          <w:color w:val="231F20"/>
          <w:spacing w:val="0"/>
          <w:w w:val="100"/>
          <w:kern w:val="0"/>
          <w:position w:val="0"/>
          <w:sz w:val="32"/>
          <w:szCs w:val="32"/>
        </w:rPr>
        <w:t>（三）坚持质量为先。</w:t>
      </w:r>
      <w:r>
        <w:rPr>
          <w:rFonts w:hint="eastAsia" w:ascii="仿宋_GB2312" w:hAnsi="仿宋_GB2312" w:eastAsia="仿宋_GB2312" w:cs="仿宋_GB2312"/>
          <w:snapToGrid w:val="0"/>
          <w:color w:val="231F20"/>
          <w:spacing w:val="0"/>
          <w:w w:val="100"/>
          <w:kern w:val="0"/>
          <w:position w:val="0"/>
          <w:sz w:val="32"/>
          <w:szCs w:val="32"/>
        </w:rPr>
        <w:t>准确阐述本学科专业的基本概念（理论）、基础知识、基本方法，结构设计合理，教材选材恰当准确，思想性、科学性、创新性、启发性、先进性突出，反映相关学科专业发展的新成就，反映中国特色社会主义的伟大实践。</w:t>
      </w:r>
    </w:p>
    <w:p w14:paraId="0928CF20">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楷体_GB2312" w:hAnsi="楷体_GB2312" w:eastAsia="楷体_GB2312" w:cs="楷体_GB2312"/>
          <w:snapToGrid w:val="0"/>
          <w:color w:val="231F20"/>
          <w:spacing w:val="0"/>
          <w:w w:val="100"/>
          <w:kern w:val="0"/>
          <w:position w:val="0"/>
          <w:sz w:val="32"/>
          <w:szCs w:val="32"/>
        </w:rPr>
        <w:t>（四）坚持守正创新。</w:t>
      </w:r>
      <w:r>
        <w:rPr>
          <w:rFonts w:hint="eastAsia" w:ascii="仿宋_GB2312" w:hAnsi="仿宋_GB2312" w:eastAsia="仿宋_GB2312" w:cs="仿宋_GB2312"/>
          <w:snapToGrid w:val="0"/>
          <w:color w:val="231F20"/>
          <w:spacing w:val="0"/>
          <w:w w:val="100"/>
          <w:kern w:val="0"/>
          <w:position w:val="0"/>
          <w:sz w:val="32"/>
          <w:szCs w:val="32"/>
        </w:rPr>
        <w:t>遵循教育教学规律和人才培养规律，体现先进教育理念，鼓励学科交叉、产教融合、科教融汇，鼓励建设知识图谱、能力图谱，适应高等学校多样化人才培养需求，反映人才培养模式和教学改革创新成果，将价值塑造、知识传授和能力培养三者融为一体，有效激发学生创新潜能。</w:t>
      </w:r>
    </w:p>
    <w:p w14:paraId="5C8099A4">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楷体_GB2312" w:hAnsi="楷体_GB2312" w:eastAsia="楷体_GB2312" w:cs="楷体_GB2312"/>
          <w:snapToGrid w:val="0"/>
          <w:color w:val="231F20"/>
          <w:spacing w:val="0"/>
          <w:w w:val="100"/>
          <w:kern w:val="0"/>
          <w:position w:val="0"/>
          <w:sz w:val="32"/>
          <w:szCs w:val="32"/>
        </w:rPr>
        <w:t>（五）严守出版规范。</w:t>
      </w:r>
      <w:r>
        <w:rPr>
          <w:rFonts w:hint="eastAsia" w:ascii="仿宋_GB2312" w:hAnsi="仿宋_GB2312" w:eastAsia="仿宋_GB2312" w:cs="仿宋_GB2312"/>
          <w:snapToGrid w:val="0"/>
          <w:color w:val="231F20"/>
          <w:spacing w:val="0"/>
          <w:w w:val="100"/>
          <w:kern w:val="0"/>
          <w:position w:val="0"/>
          <w:sz w:val="32"/>
          <w:szCs w:val="32"/>
        </w:rPr>
        <w:t>纸质教材内容质量、编校质量、设计质量（包括封面、扉页、插图、表格等）、印刷装订质量符合标准和规定，未出现质量抽查不合格情况；新形态教材须为具有书号的正式出版物，教材所有数字资源按教材和出版规范编修、审核与管理。数字资源和工具须部署在出版单位自主可控的公共服务平台上，平台按照国家有关规定备案，并确保数字资源安全。</w:t>
      </w:r>
    </w:p>
    <w:p w14:paraId="0C5CD5D0">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jc w:val="both"/>
        <w:textAlignment w:val="auto"/>
        <w:rPr>
          <w:rFonts w:hint="eastAsia" w:ascii="仿宋_GB2312" w:hAnsi="仿宋_GB2312" w:eastAsia="仿宋_GB2312" w:cs="仿宋_GB2312"/>
          <w:snapToGrid w:val="0"/>
          <w:color w:val="auto"/>
          <w:spacing w:val="0"/>
          <w:w w:val="100"/>
          <w:kern w:val="0"/>
          <w:position w:val="0"/>
          <w:sz w:val="32"/>
          <w:szCs w:val="32"/>
        </w:rPr>
      </w:pPr>
      <w:r>
        <w:rPr>
          <w:rFonts w:hint="eastAsia" w:ascii="楷体_GB2312" w:hAnsi="楷体_GB2312" w:eastAsia="楷体_GB2312" w:cs="楷体_GB2312"/>
          <w:snapToGrid w:val="0"/>
          <w:color w:val="231F20"/>
          <w:spacing w:val="0"/>
          <w:w w:val="100"/>
          <w:kern w:val="0"/>
          <w:position w:val="0"/>
          <w:sz w:val="32"/>
          <w:szCs w:val="32"/>
        </w:rPr>
        <w:t>（六）严守纪律底线。</w:t>
      </w:r>
      <w:r>
        <w:rPr>
          <w:rFonts w:hint="eastAsia" w:ascii="仿宋_GB2312" w:hAnsi="仿宋_GB2312" w:eastAsia="仿宋_GB2312" w:cs="仿宋_GB2312"/>
          <w:snapToGrid w:val="0"/>
          <w:color w:val="231F20"/>
          <w:spacing w:val="0"/>
          <w:w w:val="100"/>
          <w:kern w:val="0"/>
          <w:position w:val="0"/>
          <w:sz w:val="32"/>
          <w:szCs w:val="32"/>
        </w:rPr>
        <w:t>教材无意识形态问题，无侵犯知识产权或其他法律问题，不得有民族、地域、性别、职业、年龄歧视等内容，不得有商业广告或变相商业广告；教材编写人员应遵纪守法，有良好的思想品德、社会形象，无意识形态、师德师风问题，无违法违纪、学术不端等行为。</w:t>
      </w:r>
    </w:p>
    <w:p w14:paraId="75B74A5A">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default"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三、申报程序和要求</w:t>
      </w:r>
    </w:p>
    <w:p w14:paraId="47FBBDD4">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eastAsia" w:ascii="楷体_GB2312" w:hAnsi="楷体_GB2312" w:eastAsia="楷体_GB2312" w:cs="楷体_GB2312"/>
          <w:snapToGrid w:val="0"/>
          <w:color w:val="231F20"/>
          <w:spacing w:val="0"/>
          <w:w w:val="100"/>
          <w:kern w:val="0"/>
          <w:position w:val="0"/>
          <w:sz w:val="32"/>
          <w:szCs w:val="32"/>
          <w:lang w:val="en-US" w:eastAsia="zh-CN"/>
        </w:rPr>
      </w:pPr>
      <w:r>
        <w:rPr>
          <w:rFonts w:hint="eastAsia" w:ascii="楷体_GB2312" w:hAnsi="楷体_GB2312" w:eastAsia="楷体_GB2312" w:cs="楷体_GB2312"/>
          <w:snapToGrid w:val="0"/>
          <w:color w:val="231F20"/>
          <w:spacing w:val="0"/>
          <w:w w:val="100"/>
          <w:kern w:val="0"/>
          <w:position w:val="0"/>
          <w:sz w:val="32"/>
          <w:szCs w:val="32"/>
          <w:lang w:val="en-US" w:eastAsia="zh-CN"/>
        </w:rPr>
        <w:t>（一）申报程序。</w:t>
      </w:r>
    </w:p>
    <w:p w14:paraId="0E0CF5B8">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default" w:ascii="仿宋_GB2312" w:hAnsi="仿宋_GB2312" w:eastAsia="仿宋_GB2312" w:cs="仿宋_GB2312"/>
          <w:snapToGrid w:val="0"/>
          <w:color w:val="231F20"/>
          <w:spacing w:val="0"/>
          <w:w w:val="100"/>
          <w:kern w:val="0"/>
          <w:position w:val="0"/>
          <w:sz w:val="32"/>
          <w:szCs w:val="32"/>
          <w:lang w:val="en-US" w:eastAsia="zh-CN"/>
        </w:rPr>
      </w:pPr>
      <w:r>
        <w:rPr>
          <w:rFonts w:hint="eastAsia" w:ascii="仿宋_GB2312" w:hAnsi="仿宋_GB2312" w:eastAsia="仿宋_GB2312" w:cs="仿宋_GB2312"/>
          <w:snapToGrid w:val="0"/>
          <w:color w:val="231F20"/>
          <w:spacing w:val="0"/>
          <w:w w:val="100"/>
          <w:kern w:val="0"/>
          <w:position w:val="0"/>
          <w:sz w:val="32"/>
          <w:szCs w:val="32"/>
          <w:lang w:val="en-US" w:eastAsia="zh-CN"/>
        </w:rPr>
        <w:t>1.申报限额。本次“十四五”普通高等教育本科国家级规划教材推荐实行限额申报。省教育厅综合考虑各高校出版的有关教材数量、教材建设</w:t>
      </w:r>
      <w:r>
        <w:rPr>
          <w:rFonts w:hint="eastAsia" w:ascii="仿宋_GB2312" w:hAnsi="仿宋_GB2312" w:eastAsia="仿宋_GB2312" w:cs="仿宋_GB2312"/>
          <w:snapToGrid w:val="0"/>
          <w:color w:val="auto"/>
          <w:spacing w:val="0"/>
          <w:w w:val="100"/>
          <w:kern w:val="0"/>
          <w:position w:val="0"/>
          <w:sz w:val="32"/>
          <w:szCs w:val="32"/>
          <w:lang w:val="en-US" w:eastAsia="zh-CN"/>
        </w:rPr>
        <w:t>成效</w:t>
      </w:r>
      <w:r>
        <w:rPr>
          <w:rFonts w:hint="eastAsia" w:ascii="仿宋_GB2312" w:hAnsi="仿宋_GB2312" w:eastAsia="仿宋_GB2312" w:cs="仿宋_GB2312"/>
          <w:snapToGrid w:val="0"/>
          <w:color w:val="231F20"/>
          <w:spacing w:val="0"/>
          <w:w w:val="100"/>
          <w:kern w:val="0"/>
          <w:position w:val="0"/>
          <w:sz w:val="32"/>
          <w:szCs w:val="32"/>
          <w:lang w:val="en-US" w:eastAsia="zh-CN"/>
        </w:rPr>
        <w:t>，确定各高校申报限额（见附件1）。</w:t>
      </w:r>
    </w:p>
    <w:p w14:paraId="1DBB9B64">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eastAsia" w:ascii="仿宋_GB2312" w:hAnsi="仿宋_GB2312" w:eastAsia="仿宋_GB2312" w:cs="仿宋_GB2312"/>
          <w:snapToGrid w:val="0"/>
          <w:color w:val="231F20"/>
          <w:spacing w:val="0"/>
          <w:w w:val="100"/>
          <w:kern w:val="0"/>
          <w:position w:val="0"/>
          <w:sz w:val="32"/>
          <w:szCs w:val="32"/>
          <w:lang w:val="en-US" w:eastAsia="zh-CN"/>
        </w:rPr>
      </w:pPr>
      <w:r>
        <w:rPr>
          <w:rFonts w:hint="eastAsia" w:ascii="仿宋_GB2312" w:hAnsi="仿宋_GB2312" w:eastAsia="仿宋_GB2312" w:cs="仿宋_GB2312"/>
          <w:snapToGrid w:val="0"/>
          <w:color w:val="231F20"/>
          <w:spacing w:val="0"/>
          <w:w w:val="100"/>
          <w:kern w:val="0"/>
          <w:position w:val="0"/>
          <w:sz w:val="32"/>
          <w:szCs w:val="32"/>
          <w:lang w:val="en-US" w:eastAsia="zh-CN"/>
        </w:rPr>
        <w:t>2.组织申报。</w:t>
      </w:r>
      <w:r>
        <w:rPr>
          <w:rFonts w:hint="eastAsia" w:ascii="仿宋_GB2312" w:hAnsi="仿宋_GB2312" w:eastAsia="仿宋_GB2312" w:cs="仿宋_GB2312"/>
          <w:snapToGrid w:val="0"/>
          <w:color w:val="231F20"/>
          <w:spacing w:val="0"/>
          <w:w w:val="100"/>
          <w:kern w:val="0"/>
          <w:position w:val="0"/>
          <w:sz w:val="32"/>
          <w:szCs w:val="32"/>
        </w:rPr>
        <w:t>原则上教材由其第一主编（作者）所在高校申报，第一主编非高校教师的教材，可由第二主编所在高校申报。</w:t>
      </w:r>
      <w:r>
        <w:rPr>
          <w:rFonts w:hint="eastAsia" w:ascii="仿宋_GB2312" w:hAnsi="仿宋_GB2312" w:eastAsia="仿宋_GB2312" w:cs="仿宋_GB2312"/>
          <w:snapToGrid w:val="0"/>
          <w:color w:val="231F20"/>
          <w:spacing w:val="0"/>
          <w:w w:val="100"/>
          <w:kern w:val="0"/>
          <w:position w:val="0"/>
          <w:sz w:val="32"/>
          <w:szCs w:val="32"/>
          <w:lang w:val="en-US" w:eastAsia="zh-CN"/>
        </w:rPr>
        <w:t>学校要组织专家进行初评，在限额内推荐参加省级遴选。在推荐时应兼顾不同学科专业、不同类型的教材。</w:t>
      </w:r>
    </w:p>
    <w:p w14:paraId="7408425E">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default" w:ascii="仿宋_GB2312" w:hAnsi="仿宋_GB2312" w:eastAsia="仿宋_GB2312" w:cs="仿宋_GB2312"/>
          <w:snapToGrid w:val="0"/>
          <w:color w:val="231F20"/>
          <w:spacing w:val="0"/>
          <w:w w:val="100"/>
          <w:kern w:val="0"/>
          <w:position w:val="0"/>
          <w:sz w:val="32"/>
          <w:szCs w:val="32"/>
          <w:lang w:val="en-US" w:eastAsia="zh-CN"/>
        </w:rPr>
      </w:pPr>
      <w:r>
        <w:rPr>
          <w:rFonts w:hint="eastAsia" w:ascii="仿宋_GB2312" w:hAnsi="仿宋_GB2312" w:eastAsia="仿宋_GB2312" w:cs="仿宋_GB2312"/>
          <w:snapToGrid w:val="0"/>
          <w:color w:val="231F20"/>
          <w:spacing w:val="0"/>
          <w:w w:val="100"/>
          <w:kern w:val="0"/>
          <w:position w:val="0"/>
          <w:sz w:val="32"/>
          <w:szCs w:val="32"/>
          <w:lang w:val="en-US" w:eastAsia="zh-CN"/>
        </w:rPr>
        <w:t>3.</w:t>
      </w:r>
      <w:r>
        <w:rPr>
          <w:rFonts w:hint="eastAsia" w:ascii="仿宋_GB2312" w:hAnsi="仿宋_GB2312" w:eastAsia="仿宋_GB2312" w:cs="仿宋_GB2312"/>
          <w:snapToGrid w:val="0"/>
          <w:color w:val="231F20"/>
          <w:spacing w:val="0"/>
          <w:w w:val="100"/>
          <w:position w:val="0"/>
          <w:sz w:val="32"/>
          <w:szCs w:val="32"/>
        </w:rPr>
        <w:t>材料公示与报送。</w:t>
      </w:r>
      <w:r>
        <w:rPr>
          <w:rFonts w:hint="eastAsia" w:ascii="仿宋_GB2312" w:hAnsi="仿宋_GB2312" w:eastAsia="仿宋_GB2312" w:cs="仿宋_GB2312"/>
          <w:snapToGrid w:val="0"/>
          <w:color w:val="231F20"/>
          <w:spacing w:val="0"/>
          <w:w w:val="100"/>
          <w:kern w:val="0"/>
          <w:position w:val="0"/>
          <w:sz w:val="32"/>
          <w:szCs w:val="32"/>
          <w:lang w:val="en-US" w:eastAsia="zh-CN"/>
        </w:rPr>
        <w:t>各高校须在全校</w:t>
      </w:r>
      <w:r>
        <w:rPr>
          <w:rFonts w:hint="eastAsia" w:ascii="仿宋_GB2312" w:hAnsi="仿宋_GB2312" w:eastAsia="仿宋_GB2312" w:cs="仿宋_GB2312"/>
          <w:snapToGrid w:val="0"/>
          <w:color w:val="231F20"/>
          <w:spacing w:val="0"/>
          <w:w w:val="100"/>
          <w:kern w:val="0"/>
          <w:position w:val="0"/>
          <w:sz w:val="32"/>
          <w:szCs w:val="32"/>
        </w:rPr>
        <w:t>公示</w:t>
      </w:r>
      <w:r>
        <w:rPr>
          <w:rFonts w:hint="eastAsia" w:ascii="仿宋_GB2312" w:hAnsi="仿宋_GB2312" w:eastAsia="仿宋_GB2312" w:cs="仿宋_GB2312"/>
          <w:snapToGrid w:val="0"/>
          <w:color w:val="231F20"/>
          <w:spacing w:val="0"/>
          <w:w w:val="100"/>
          <w:kern w:val="0"/>
          <w:position w:val="0"/>
          <w:sz w:val="32"/>
          <w:szCs w:val="32"/>
          <w:lang w:val="en-US" w:eastAsia="zh-CN"/>
        </w:rPr>
        <w:t>申报教材的相关信息（</w:t>
      </w:r>
      <w:r>
        <w:rPr>
          <w:rFonts w:hint="eastAsia" w:ascii="仿宋_GB2312" w:hAnsi="仿宋_GB2312" w:eastAsia="仿宋_GB2312" w:cs="仿宋_GB2312"/>
          <w:snapToGrid w:val="0"/>
          <w:color w:val="231F20"/>
          <w:spacing w:val="0"/>
          <w:w w:val="100"/>
          <w:kern w:val="0"/>
          <w:position w:val="0"/>
          <w:sz w:val="32"/>
          <w:szCs w:val="32"/>
        </w:rPr>
        <w:t>包括推荐教材的名称、国际标准书号、主编及编写人员、出版单位等相关信息</w:t>
      </w: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rPr>
        <w:t>公示期不少于5个工作日</w:t>
      </w:r>
      <w:r>
        <w:rPr>
          <w:rFonts w:hint="eastAsia" w:ascii="仿宋_GB2312" w:hAnsi="仿宋_GB2312" w:eastAsia="仿宋_GB2312" w:cs="仿宋_GB2312"/>
          <w:snapToGrid w:val="0"/>
          <w:color w:val="231F20"/>
          <w:spacing w:val="0"/>
          <w:w w:val="100"/>
          <w:kern w:val="0"/>
          <w:position w:val="0"/>
          <w:sz w:val="32"/>
          <w:szCs w:val="32"/>
          <w:lang w:eastAsia="zh-CN"/>
        </w:rPr>
        <w:t>，</w:t>
      </w:r>
      <w:r>
        <w:rPr>
          <w:rFonts w:hint="eastAsia" w:ascii="仿宋_GB2312" w:hAnsi="仿宋_GB2312" w:eastAsia="仿宋_GB2312" w:cs="仿宋_GB2312"/>
          <w:snapToGrid w:val="0"/>
          <w:color w:val="231F20"/>
          <w:spacing w:val="0"/>
          <w:w w:val="100"/>
          <w:kern w:val="0"/>
          <w:position w:val="0"/>
          <w:sz w:val="32"/>
          <w:szCs w:val="32"/>
          <w:lang w:val="en-US" w:eastAsia="zh-CN"/>
        </w:rPr>
        <w:t>经公示后向省教育厅报送</w:t>
      </w:r>
      <w:r>
        <w:rPr>
          <w:rFonts w:hint="eastAsia" w:ascii="仿宋_GB2312" w:hAnsi="仿宋_GB2312" w:eastAsia="仿宋_GB2312" w:cs="仿宋_GB2312"/>
          <w:snapToGrid w:val="0"/>
          <w:color w:val="231F20"/>
          <w:spacing w:val="0"/>
          <w:w w:val="100"/>
          <w:kern w:val="0"/>
          <w:position w:val="0"/>
          <w:sz w:val="32"/>
          <w:szCs w:val="32"/>
        </w:rPr>
        <w:t>。</w:t>
      </w:r>
      <w:r>
        <w:rPr>
          <w:rFonts w:hint="eastAsia" w:ascii="仿宋_GB2312" w:hAnsi="仿宋_GB2312" w:eastAsia="仿宋_GB2312" w:cs="仿宋_GB2312"/>
          <w:snapToGrid w:val="0"/>
          <w:color w:val="231F20"/>
          <w:spacing w:val="0"/>
          <w:w w:val="100"/>
          <w:kern w:val="0"/>
          <w:position w:val="0"/>
          <w:sz w:val="32"/>
          <w:szCs w:val="32"/>
          <w:lang w:val="en-US" w:eastAsia="zh-CN"/>
        </w:rPr>
        <w:t>各高校应确保申报的教材在知识产权或其他方面不存在法律争议。</w:t>
      </w:r>
    </w:p>
    <w:p w14:paraId="00D2E741">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eastAsia" w:ascii="楷体_GB2312" w:hAnsi="楷体_GB2312" w:eastAsia="楷体_GB2312" w:cs="楷体_GB2312"/>
          <w:snapToGrid w:val="0"/>
          <w:color w:val="231F20"/>
          <w:spacing w:val="0"/>
          <w:w w:val="100"/>
          <w:kern w:val="0"/>
          <w:position w:val="0"/>
          <w:sz w:val="32"/>
          <w:szCs w:val="32"/>
          <w:lang w:val="en-US" w:eastAsia="zh-CN"/>
        </w:rPr>
      </w:pPr>
      <w:r>
        <w:rPr>
          <w:rFonts w:hint="eastAsia" w:ascii="楷体_GB2312" w:hAnsi="楷体_GB2312" w:eastAsia="楷体_GB2312" w:cs="楷体_GB2312"/>
          <w:snapToGrid w:val="0"/>
          <w:color w:val="231F20"/>
          <w:spacing w:val="0"/>
          <w:w w:val="100"/>
          <w:kern w:val="0"/>
          <w:position w:val="0"/>
          <w:sz w:val="32"/>
          <w:szCs w:val="32"/>
          <w:lang w:val="en-US" w:eastAsia="zh-CN"/>
        </w:rPr>
        <w:t>（二）申报要求</w:t>
      </w:r>
    </w:p>
    <w:p w14:paraId="339DD863">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eastAsia" w:ascii="仿宋_GB2312" w:hAnsi="仿宋_GB2312" w:eastAsia="仿宋_GB2312" w:cs="仿宋_GB2312"/>
          <w:snapToGrid w:val="0"/>
          <w:color w:val="231F20"/>
          <w:spacing w:val="0"/>
          <w:w w:val="100"/>
          <w:kern w:val="0"/>
          <w:position w:val="0"/>
          <w:sz w:val="32"/>
          <w:szCs w:val="32"/>
        </w:rPr>
      </w:pPr>
      <w:r>
        <w:rPr>
          <w:rFonts w:hint="eastAsia" w:ascii="仿宋_GB2312" w:hAnsi="仿宋_GB2312" w:eastAsia="仿宋_GB2312" w:cs="仿宋_GB2312"/>
          <w:snapToGrid w:val="0"/>
          <w:color w:val="231F20"/>
          <w:spacing w:val="0"/>
          <w:w w:val="100"/>
          <w:kern w:val="0"/>
          <w:position w:val="0"/>
          <w:sz w:val="32"/>
          <w:szCs w:val="32"/>
          <w:lang w:val="en-US" w:eastAsia="zh-CN"/>
        </w:rPr>
        <w:t>1.申报</w:t>
      </w:r>
      <w:r>
        <w:rPr>
          <w:rFonts w:hint="eastAsia" w:ascii="仿宋_GB2312" w:hAnsi="仿宋_GB2312" w:eastAsia="仿宋_GB2312" w:cs="仿宋_GB2312"/>
          <w:snapToGrid w:val="0"/>
          <w:color w:val="231F20"/>
          <w:spacing w:val="0"/>
          <w:w w:val="100"/>
          <w:kern w:val="0"/>
          <w:position w:val="0"/>
          <w:sz w:val="32"/>
          <w:szCs w:val="32"/>
        </w:rPr>
        <w:t>教材分“单本”和“全册”两种类型，不受理系列教材推荐。全册教材（相同书名的上下册、1—n册）可选择“全册”类型推荐，或选择其中的单册以“单本”类型推荐。若选择“全册”类型，须所有单册均符合推荐要求，推荐时占用一个名额。</w:t>
      </w:r>
    </w:p>
    <w:p w14:paraId="0C7B4310">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eastAsia" w:ascii="仿宋_GB2312" w:hAnsi="仿宋_GB2312" w:eastAsia="仿宋_GB2312" w:cs="仿宋_GB2312"/>
          <w:snapToGrid w:val="0"/>
          <w:color w:val="231F20"/>
          <w:spacing w:val="0"/>
          <w:w w:val="100"/>
          <w:kern w:val="0"/>
          <w:position w:val="0"/>
          <w:sz w:val="32"/>
          <w:szCs w:val="32"/>
        </w:rPr>
      </w:pPr>
      <w:r>
        <w:rPr>
          <w:rFonts w:hint="eastAsia" w:ascii="仿宋_GB2312" w:hAnsi="仿宋_GB2312" w:eastAsia="仿宋_GB2312" w:cs="仿宋_GB2312"/>
          <w:snapToGrid w:val="0"/>
          <w:color w:val="231F20"/>
          <w:spacing w:val="0"/>
          <w:w w:val="100"/>
          <w:kern w:val="0"/>
          <w:position w:val="0"/>
          <w:sz w:val="32"/>
          <w:szCs w:val="32"/>
          <w:lang w:val="en-US" w:eastAsia="zh-CN"/>
        </w:rPr>
        <w:t>2.</w:t>
      </w:r>
      <w:r>
        <w:rPr>
          <w:rFonts w:hint="eastAsia" w:ascii="仿宋_GB2312" w:hAnsi="仿宋_GB2312" w:eastAsia="仿宋_GB2312" w:cs="仿宋_GB2312"/>
          <w:snapToGrid w:val="0"/>
          <w:color w:val="231F20"/>
          <w:spacing w:val="0"/>
          <w:w w:val="100"/>
          <w:kern w:val="0"/>
          <w:position w:val="0"/>
          <w:sz w:val="32"/>
          <w:szCs w:val="32"/>
        </w:rPr>
        <w:t>同一主编编写的名称或内容基本相同的教材只能推荐一项。</w:t>
      </w:r>
    </w:p>
    <w:p w14:paraId="25EF95D5">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eastAsia" w:ascii="仿宋_GB2312" w:hAnsi="仿宋_GB2312" w:eastAsia="仿宋_GB2312" w:cs="仿宋_GB2312"/>
          <w:snapToGrid w:val="0"/>
          <w:color w:val="231F20"/>
          <w:spacing w:val="0"/>
          <w:w w:val="100"/>
          <w:kern w:val="0"/>
          <w:position w:val="0"/>
          <w:sz w:val="32"/>
          <w:szCs w:val="32"/>
        </w:rPr>
      </w:pPr>
      <w:r>
        <w:rPr>
          <w:rFonts w:hint="eastAsia" w:ascii="仿宋_GB2312" w:hAnsi="仿宋_GB2312" w:eastAsia="仿宋_GB2312" w:cs="仿宋_GB2312"/>
          <w:snapToGrid w:val="0"/>
          <w:color w:val="231F20"/>
          <w:spacing w:val="0"/>
          <w:w w:val="100"/>
          <w:kern w:val="0"/>
          <w:position w:val="0"/>
          <w:sz w:val="32"/>
          <w:szCs w:val="32"/>
          <w:lang w:val="en-US" w:eastAsia="zh-CN"/>
        </w:rPr>
        <w:t>3.</w:t>
      </w:r>
      <w:r>
        <w:rPr>
          <w:rFonts w:hint="eastAsia" w:ascii="仿宋_GB2312" w:hAnsi="仿宋_GB2312" w:eastAsia="仿宋_GB2312" w:cs="仿宋_GB2312"/>
          <w:snapToGrid w:val="0"/>
          <w:color w:val="231F20"/>
          <w:spacing w:val="0"/>
          <w:w w:val="100"/>
          <w:kern w:val="0"/>
          <w:position w:val="0"/>
          <w:sz w:val="32"/>
          <w:szCs w:val="32"/>
        </w:rPr>
        <w:t>盲文教材、少数民族语言文字教材等以非国家通用语言文字编写的教材，需同时报送国家通用语言文字版本。</w:t>
      </w:r>
    </w:p>
    <w:p w14:paraId="0AB87CCF">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rightChars="0" w:firstLine="640" w:firstLineChars="200"/>
        <w:textAlignment w:val="auto"/>
        <w:rPr>
          <w:rFonts w:hint="default" w:ascii="仿宋_GB2312" w:hAnsi="仿宋_GB2312" w:eastAsia="仿宋_GB2312" w:cs="仿宋_GB2312"/>
          <w:snapToGrid w:val="0"/>
          <w:color w:val="231F20"/>
          <w:spacing w:val="0"/>
          <w:w w:val="100"/>
          <w:kern w:val="0"/>
          <w:position w:val="0"/>
          <w:sz w:val="32"/>
          <w:szCs w:val="32"/>
          <w:lang w:val="en-US" w:eastAsia="zh-CN"/>
        </w:rPr>
      </w:pPr>
      <w:r>
        <w:rPr>
          <w:rFonts w:hint="eastAsia" w:ascii="仿宋_GB2312" w:hAnsi="仿宋_GB2312" w:eastAsia="仿宋_GB2312" w:cs="仿宋_GB2312"/>
          <w:snapToGrid w:val="0"/>
          <w:color w:val="231F20"/>
          <w:spacing w:val="0"/>
          <w:w w:val="100"/>
          <w:kern w:val="0"/>
          <w:position w:val="0"/>
          <w:sz w:val="32"/>
          <w:szCs w:val="32"/>
          <w:lang w:val="en-US" w:eastAsia="zh-CN"/>
        </w:rPr>
        <w:t>4.申报</w:t>
      </w:r>
      <w:r>
        <w:rPr>
          <w:rFonts w:hint="eastAsia" w:ascii="仿宋_GB2312" w:hAnsi="仿宋_GB2312" w:eastAsia="仿宋_GB2312" w:cs="仿宋_GB2312"/>
          <w:snapToGrid w:val="0"/>
          <w:color w:val="231F20"/>
          <w:spacing w:val="0"/>
          <w:w w:val="100"/>
          <w:kern w:val="0"/>
          <w:position w:val="0"/>
          <w:sz w:val="32"/>
          <w:szCs w:val="32"/>
        </w:rPr>
        <w:t>教材须在推荐前完成相关审核工作，由第一主编所在单位和教材出版单位分别对教材进行政治性、思想性、学术性审核，并出具审核意见。</w:t>
      </w:r>
    </w:p>
    <w:p w14:paraId="2048C835">
      <w:pPr>
        <w:pStyle w:val="4"/>
        <w:keepNext w:val="0"/>
        <w:keepLines w:val="0"/>
        <w:pageBreakBefore w:val="0"/>
        <w:widowControl w:val="0"/>
        <w:kinsoku/>
        <w:wordWrap/>
        <w:overflowPunct/>
        <w:topLinePunct w:val="0"/>
        <w:bidi w:val="0"/>
        <w:adjustRightInd w:val="0"/>
        <w:snapToGrid w:val="0"/>
        <w:spacing w:after="0" w:line="560" w:lineRule="exact"/>
        <w:ind w:left="0" w:leftChars="0" w:right="0" w:rightChars="0"/>
        <w:textAlignment w:val="auto"/>
        <w:rPr>
          <w:rFonts w:hint="eastAsia" w:ascii="黑体" w:hAnsi="黑体" w:eastAsia="黑体" w:cs="黑体"/>
          <w:snapToGrid w:val="0"/>
          <w:color w:val="231F20"/>
          <w:spacing w:val="0"/>
          <w:w w:val="100"/>
          <w:kern w:val="0"/>
          <w:position w:val="0"/>
          <w:sz w:val="32"/>
          <w:szCs w:val="32"/>
          <w:lang w:val="en-US" w:eastAsia="zh-CN" w:bidi="ar-SA"/>
        </w:rPr>
      </w:pPr>
      <w:r>
        <w:rPr>
          <w:rFonts w:hint="eastAsia" w:ascii="黑体" w:hAnsi="黑体" w:eastAsia="黑体" w:cs="黑体"/>
          <w:snapToGrid w:val="0"/>
          <w:color w:val="231F20"/>
          <w:spacing w:val="0"/>
          <w:w w:val="100"/>
          <w:kern w:val="0"/>
          <w:position w:val="0"/>
          <w:sz w:val="32"/>
          <w:szCs w:val="32"/>
          <w:lang w:val="en-US" w:eastAsia="zh-CN" w:bidi="ar-SA"/>
        </w:rPr>
        <w:t>四、其他材料报送要求</w:t>
      </w:r>
    </w:p>
    <w:p w14:paraId="756E51BB">
      <w:pPr>
        <w:overflowPunct w:val="0"/>
        <w:spacing w:line="560" w:lineRule="exact"/>
        <w:ind w:firstLine="640" w:firstLineChars="200"/>
        <w:rPr>
          <w:rFonts w:ascii="仿宋_GB2312" w:eastAsia="仿宋_GB2312"/>
          <w:color w:val="auto"/>
          <w:sz w:val="32"/>
          <w:szCs w:val="32"/>
        </w:rPr>
      </w:pPr>
      <w:r>
        <w:rPr>
          <w:rFonts w:hint="eastAsia" w:ascii="楷体_GB2312" w:hAnsi="楷体_GB2312" w:eastAsia="楷体_GB2312" w:cs="楷体_GB2312"/>
          <w:color w:val="auto"/>
          <w:sz w:val="32"/>
          <w:szCs w:val="32"/>
          <w:lang w:val="en-US" w:eastAsia="zh-CN"/>
        </w:rPr>
        <w:t>（一）网络填报。</w:t>
      </w:r>
      <w:r>
        <w:rPr>
          <w:rFonts w:hint="eastAsia" w:ascii="仿宋_GB2312" w:eastAsia="仿宋_GB2312"/>
          <w:color w:val="auto"/>
          <w:sz w:val="32"/>
          <w:szCs w:val="32"/>
        </w:rPr>
        <w:t>请拟申报高校于</w:t>
      </w:r>
      <w:r>
        <w:rPr>
          <w:rFonts w:hint="eastAsia" w:ascii="仿宋_GB2312" w:eastAsia="仿宋_GB2312"/>
          <w:color w:val="auto"/>
          <w:sz w:val="32"/>
          <w:szCs w:val="32"/>
          <w:lang w:val="en-US" w:eastAsia="zh-CN"/>
        </w:rPr>
        <w:t>8月30</w:t>
      </w:r>
      <w:r>
        <w:rPr>
          <w:rFonts w:hint="eastAsia" w:ascii="仿宋_GB2312" w:eastAsia="仿宋_GB2312"/>
          <w:color w:val="auto"/>
          <w:sz w:val="32"/>
          <w:szCs w:val="32"/>
        </w:rPr>
        <w:t>日前，登录“山东教育通用工作平台”（网址https://gzpt.sdei.edu.cn/gzpt/login/login），在线填报有关信息，并上传《</w:t>
      </w:r>
      <w:r>
        <w:rPr>
          <w:rFonts w:hint="eastAsia" w:ascii="仿宋_GB2312" w:eastAsia="仿宋_GB2312"/>
          <w:color w:val="auto"/>
          <w:kern w:val="0"/>
          <w:sz w:val="32"/>
          <w:szCs w:val="32"/>
          <w:lang w:val="en-US" w:eastAsia="zh-CN"/>
        </w:rPr>
        <w:t>十四五”普通高等教育本科国家级规划教材申报书</w:t>
      </w:r>
      <w:r>
        <w:rPr>
          <w:rFonts w:hint="eastAsia" w:ascii="仿宋_GB2312" w:eastAsia="仿宋_GB2312"/>
          <w:color w:val="auto"/>
          <w:sz w:val="32"/>
          <w:szCs w:val="32"/>
        </w:rPr>
        <w:t>》（附件</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）（word版和加盖相应公章的pdf扫描件）</w:t>
      </w:r>
      <w:r>
        <w:rPr>
          <w:rFonts w:hint="eastAsia" w:ascii="仿宋_GB2312" w:eastAsia="仿宋_GB2312"/>
          <w:color w:val="auto"/>
          <w:sz w:val="32"/>
          <w:szCs w:val="32"/>
          <w:lang w:val="en-US" w:eastAsia="zh-CN"/>
        </w:rPr>
        <w:t>及附件材料等</w:t>
      </w:r>
      <w:r>
        <w:rPr>
          <w:rFonts w:hint="eastAsia" w:ascii="仿宋_GB2312" w:eastAsia="仿宋_GB2312"/>
          <w:color w:val="auto"/>
          <w:sz w:val="32"/>
          <w:szCs w:val="32"/>
        </w:rPr>
        <w:t>。</w:t>
      </w:r>
    </w:p>
    <w:p w14:paraId="714CEC6E">
      <w:pPr>
        <w:pStyle w:val="3"/>
        <w:keepNext w:val="0"/>
        <w:keepLines w:val="0"/>
        <w:pageBreakBefore w:val="0"/>
        <w:widowControl w:val="0"/>
        <w:kinsoku/>
        <w:wordWrap/>
        <w:overflowPunct/>
        <w:topLinePunct w:val="0"/>
        <w:autoSpaceDE w:val="0"/>
        <w:autoSpaceDN w:val="0"/>
        <w:bidi w:val="0"/>
        <w:adjustRightInd w:val="0"/>
        <w:snapToGrid w:val="0"/>
        <w:spacing w:before="0" w:after="0" w:line="560" w:lineRule="exact"/>
        <w:ind w:left="0" w:leftChars="0" w:right="0" w:firstLine="640" w:firstLineChars="200"/>
        <w:jc w:val="both"/>
        <w:textAlignment w:val="auto"/>
        <w:rPr>
          <w:rFonts w:hint="eastAsia" w:ascii="仿宋_GB2312" w:hAnsi="仿宋_GB2312" w:eastAsia="仿宋_GB2312" w:cs="仿宋_GB2312"/>
          <w:snapToGrid w:val="0"/>
          <w:color w:val="231F20"/>
          <w:spacing w:val="0"/>
          <w:w w:val="100"/>
          <w:kern w:val="0"/>
          <w:position w:val="0"/>
          <w:sz w:val="32"/>
          <w:szCs w:val="32"/>
          <w:lang w:val="en-US" w:eastAsia="zh-CN" w:bidi="ar-SA"/>
        </w:rPr>
      </w:pPr>
      <w:r>
        <w:rPr>
          <w:rFonts w:hint="eastAsia" w:ascii="楷体_GB2312" w:hAnsi="楷体_GB2312" w:eastAsia="楷体_GB2312" w:cs="楷体_GB2312"/>
          <w:snapToGrid/>
          <w:color w:val="auto"/>
          <w:spacing w:val="0"/>
          <w:w w:val="100"/>
          <w:kern w:val="2"/>
          <w:position w:val="0"/>
          <w:sz w:val="32"/>
          <w:szCs w:val="32"/>
          <w:lang w:val="en-US" w:eastAsia="zh-CN" w:bidi="ar-SA"/>
        </w:rPr>
        <w:t>（二）纸质材料报送。</w:t>
      </w:r>
      <w:r>
        <w:rPr>
          <w:rFonts w:hint="eastAsia" w:ascii="仿宋_GB2312" w:hAnsi="仿宋_GB2312" w:eastAsia="仿宋_GB2312" w:cs="仿宋_GB2312"/>
          <w:snapToGrid w:val="0"/>
          <w:color w:val="231F20"/>
          <w:spacing w:val="0"/>
          <w:w w:val="100"/>
          <w:kern w:val="0"/>
          <w:position w:val="0"/>
          <w:sz w:val="32"/>
          <w:szCs w:val="32"/>
          <w:lang w:val="en-US" w:eastAsia="zh-CN" w:bidi="ar-SA"/>
        </w:rPr>
        <w:t>请各高校于8月30日前</w:t>
      </w:r>
      <w:r>
        <w:rPr>
          <w:rFonts w:hint="eastAsia" w:ascii="仿宋_GB2312" w:hAnsi="仿宋_GB2312" w:eastAsia="仿宋_GB2312" w:cs="仿宋_GB2312"/>
          <w:snapToGrid w:val="0"/>
          <w:color w:val="231F20"/>
          <w:spacing w:val="0"/>
          <w:w w:val="100"/>
          <w:kern w:val="0"/>
          <w:position w:val="0"/>
          <w:sz w:val="32"/>
          <w:szCs w:val="32"/>
          <w:u w:val="none"/>
          <w:lang w:val="en-US" w:eastAsia="zh-CN" w:bidi="ar-SA"/>
        </w:rPr>
        <w:t>将纸质材料（包括申报书及相应证明、鉴定等材料6份，纸质教材或数字教材</w:t>
      </w:r>
      <w:r>
        <w:rPr>
          <w:rFonts w:hint="eastAsia" w:ascii="仿宋_GB2312" w:hAnsi="仿宋_GB2312" w:eastAsia="仿宋_GB2312" w:cs="仿宋_GB2312"/>
          <w:snapToGrid w:val="0"/>
          <w:color w:val="auto"/>
          <w:spacing w:val="0"/>
          <w:w w:val="100"/>
          <w:kern w:val="0"/>
          <w:position w:val="0"/>
          <w:sz w:val="32"/>
          <w:szCs w:val="32"/>
          <w:highlight w:val="none"/>
          <w:u w:val="none"/>
          <w:lang w:val="en-US" w:eastAsia="zh-CN" w:bidi="ar-SA"/>
        </w:rPr>
        <w:t>1</w:t>
      </w:r>
      <w:r>
        <w:rPr>
          <w:rFonts w:hint="eastAsia" w:ascii="仿宋_GB2312" w:hAnsi="仿宋_GB2312" w:eastAsia="仿宋_GB2312" w:cs="仿宋_GB2312"/>
          <w:snapToGrid w:val="0"/>
          <w:color w:val="231F20"/>
          <w:spacing w:val="0"/>
          <w:w w:val="100"/>
          <w:kern w:val="0"/>
          <w:position w:val="0"/>
          <w:sz w:val="32"/>
          <w:szCs w:val="32"/>
          <w:u w:val="none"/>
          <w:lang w:val="en-US" w:eastAsia="zh-CN" w:bidi="ar-SA"/>
        </w:rPr>
        <w:t>份</w:t>
      </w:r>
      <w:r>
        <w:rPr>
          <w:rFonts w:hint="eastAsia" w:ascii="仿宋_GB2312" w:hAnsi="仿宋_GB2312" w:eastAsia="仿宋_GB2312" w:cs="仿宋_GB2312"/>
          <w:snapToGrid w:val="0"/>
          <w:color w:val="auto"/>
          <w:spacing w:val="0"/>
          <w:w w:val="100"/>
          <w:kern w:val="0"/>
          <w:position w:val="0"/>
          <w:sz w:val="32"/>
          <w:szCs w:val="32"/>
          <w:u w:val="none"/>
          <w:lang w:val="en-US" w:eastAsia="zh-CN" w:bidi="ar-SA"/>
        </w:rPr>
        <w:t>）</w:t>
      </w:r>
      <w:r>
        <w:rPr>
          <w:rFonts w:hint="eastAsia" w:ascii="仿宋_GB2312" w:hAnsi="仿宋_GB2312" w:eastAsia="仿宋_GB2312" w:cs="仿宋_GB2312"/>
          <w:snapToGrid w:val="0"/>
          <w:color w:val="231F20"/>
          <w:spacing w:val="0"/>
          <w:w w:val="100"/>
          <w:kern w:val="0"/>
          <w:position w:val="0"/>
          <w:sz w:val="32"/>
          <w:szCs w:val="32"/>
          <w:u w:val="none"/>
          <w:lang w:val="en-US" w:eastAsia="zh-CN" w:bidi="ar-SA"/>
        </w:rPr>
        <w:t>，报送至省教育厅611办公室，逾期不予受理。</w:t>
      </w:r>
    </w:p>
    <w:p w14:paraId="6CF2E368">
      <w:pPr>
        <w:pStyle w:val="4"/>
        <w:keepNext w:val="0"/>
        <w:keepLines w:val="0"/>
        <w:pageBreakBefore w:val="0"/>
        <w:widowControl w:val="0"/>
        <w:kinsoku/>
        <w:wordWrap/>
        <w:overflowPunct/>
        <w:topLinePunct w:val="0"/>
        <w:bidi w:val="0"/>
        <w:adjustRightInd w:val="0"/>
        <w:snapToGrid w:val="0"/>
        <w:spacing w:after="0" w:line="560" w:lineRule="exact"/>
        <w:ind w:left="0" w:leftChars="0" w:right="0" w:rightChars="0"/>
        <w:textAlignment w:val="auto"/>
        <w:rPr>
          <w:rFonts w:hint="default" w:ascii="仿宋_GB2312" w:hAnsi="仿宋_GB2312" w:eastAsia="仿宋_GB2312" w:cs="仿宋_GB2312"/>
          <w:snapToGrid w:val="0"/>
          <w:color w:val="231F20"/>
          <w:spacing w:val="0"/>
          <w:w w:val="100"/>
          <w:kern w:val="0"/>
          <w:position w:val="0"/>
          <w:sz w:val="32"/>
          <w:szCs w:val="32"/>
          <w:lang w:val="en-US" w:eastAsia="zh-CN" w:bidi="ar-SA"/>
        </w:rPr>
      </w:pPr>
      <w:r>
        <w:rPr>
          <w:rFonts w:hint="default" w:ascii="仿宋_GB2312" w:hAnsi="仿宋_GB2312" w:eastAsia="仿宋_GB2312" w:cs="仿宋_GB2312"/>
          <w:snapToGrid w:val="0"/>
          <w:color w:val="231F20"/>
          <w:spacing w:val="0"/>
          <w:w w:val="100"/>
          <w:kern w:val="0"/>
          <w:position w:val="0"/>
          <w:sz w:val="32"/>
          <w:szCs w:val="32"/>
          <w:lang w:val="en-US" w:eastAsia="zh-CN" w:bidi="ar-SA"/>
        </w:rPr>
        <w:t>各高校提交材料时，需在申报书和教材右上角标注申报编号，其中，纸质教材提供右上角贴有申报编号的最新版次印次的样书;数字教材提供贴有申报编号的电子版（光盘</w:t>
      </w:r>
      <w:r>
        <w:rPr>
          <w:rFonts w:hint="eastAsia" w:ascii="仿宋_GB2312" w:hAnsi="仿宋_GB2312" w:eastAsia="仿宋_GB2312" w:cs="仿宋_GB2312"/>
          <w:snapToGrid w:val="0"/>
          <w:color w:val="231F20"/>
          <w:spacing w:val="0"/>
          <w:w w:val="100"/>
          <w:kern w:val="0"/>
          <w:position w:val="0"/>
          <w:sz w:val="32"/>
          <w:szCs w:val="32"/>
          <w:lang w:val="en-US" w:eastAsia="zh-CN" w:bidi="ar-SA"/>
        </w:rPr>
        <w:t>、U盘或</w:t>
      </w:r>
      <w:r>
        <w:rPr>
          <w:rFonts w:hint="default" w:ascii="仿宋_GB2312" w:hAnsi="仿宋_GB2312" w:eastAsia="仿宋_GB2312" w:cs="仿宋_GB2312"/>
          <w:snapToGrid w:val="0"/>
          <w:color w:val="231F20"/>
          <w:spacing w:val="0"/>
          <w:w w:val="100"/>
          <w:kern w:val="0"/>
          <w:position w:val="0"/>
          <w:sz w:val="32"/>
          <w:szCs w:val="32"/>
          <w:lang w:val="en-US" w:eastAsia="zh-CN" w:bidi="ar-SA"/>
        </w:rPr>
        <w:t>实际销售的载体，如为其他形式可根据实际情况另行提供网址等有关内容材料，下同)；纸质教材附带数字资源的，提供贴有申报编号的纸质样书和全部数字资源电子版（光盘</w:t>
      </w:r>
      <w:r>
        <w:rPr>
          <w:rFonts w:hint="eastAsia" w:ascii="仿宋_GB2312" w:hAnsi="仿宋_GB2312" w:eastAsia="仿宋_GB2312" w:cs="仿宋_GB2312"/>
          <w:snapToGrid w:val="0"/>
          <w:color w:val="231F20"/>
          <w:spacing w:val="0"/>
          <w:w w:val="100"/>
          <w:kern w:val="0"/>
          <w:position w:val="0"/>
          <w:sz w:val="32"/>
          <w:szCs w:val="32"/>
          <w:lang w:val="en-US" w:eastAsia="zh-CN" w:bidi="ar-SA"/>
        </w:rPr>
        <w:t>、U盘</w:t>
      </w:r>
      <w:r>
        <w:rPr>
          <w:rFonts w:hint="default" w:ascii="仿宋_GB2312" w:hAnsi="仿宋_GB2312" w:eastAsia="仿宋_GB2312" w:cs="仿宋_GB2312"/>
          <w:snapToGrid w:val="0"/>
          <w:color w:val="231F20"/>
          <w:spacing w:val="0"/>
          <w:w w:val="100"/>
          <w:kern w:val="0"/>
          <w:position w:val="0"/>
          <w:sz w:val="32"/>
          <w:szCs w:val="32"/>
          <w:lang w:val="en-US" w:eastAsia="zh-CN" w:bidi="ar-SA"/>
        </w:rPr>
        <w:t>或实际销售的载体)。</w:t>
      </w:r>
    </w:p>
    <w:p w14:paraId="5D053C69">
      <w:pPr>
        <w:pStyle w:val="4"/>
        <w:keepNext w:val="0"/>
        <w:keepLines w:val="0"/>
        <w:pageBreakBefore w:val="0"/>
        <w:widowControl w:val="0"/>
        <w:kinsoku/>
        <w:wordWrap/>
        <w:overflowPunct/>
        <w:topLinePunct w:val="0"/>
        <w:autoSpaceDE/>
        <w:autoSpaceDN/>
        <w:bidi w:val="0"/>
        <w:adjustRightInd w:val="0"/>
        <w:snapToGrid w:val="0"/>
        <w:spacing w:after="0" w:line="560" w:lineRule="exact"/>
        <w:ind w:left="0" w:leftChars="0" w:right="0" w:rightChars="0" w:firstLine="640" w:firstLineChars="200"/>
        <w:jc w:val="both"/>
        <w:textAlignment w:val="auto"/>
        <w:rPr>
          <w:rFonts w:hint="default" w:ascii="仿宋_GB2312" w:hAnsi="仿宋_GB2312" w:eastAsia="仿宋_GB2312" w:cs="仿宋_GB2312"/>
          <w:snapToGrid w:val="0"/>
          <w:color w:val="231F20"/>
          <w:spacing w:val="0"/>
          <w:w w:val="100"/>
          <w:kern w:val="0"/>
          <w:position w:val="0"/>
          <w:sz w:val="32"/>
          <w:szCs w:val="32"/>
          <w:lang w:val="en-US" w:eastAsia="zh-CN" w:bidi="ar-SA"/>
        </w:rPr>
      </w:pPr>
      <w:r>
        <w:rPr>
          <w:rFonts w:hint="default" w:ascii="仿宋_GB2312" w:hAnsi="仿宋_GB2312" w:eastAsia="仿宋_GB2312" w:cs="仿宋_GB2312"/>
          <w:snapToGrid w:val="0"/>
          <w:color w:val="231F20"/>
          <w:spacing w:val="0"/>
          <w:w w:val="100"/>
          <w:kern w:val="0"/>
          <w:position w:val="0"/>
          <w:sz w:val="32"/>
          <w:szCs w:val="32"/>
          <w:lang w:val="en-US" w:eastAsia="zh-CN" w:bidi="ar-SA"/>
        </w:rPr>
        <w:t>申报编号由各高校自行编写。编写方式为：高校五位数代码+高校名称—01，01之后按照数字顺序依次排列。比如：</w:t>
      </w:r>
      <w:r>
        <w:rPr>
          <w:rFonts w:hint="eastAsia" w:ascii="仿宋_GB2312" w:hAnsi="仿宋_GB2312" w:eastAsia="仿宋_GB2312" w:cs="仿宋_GB2312"/>
          <w:snapToGrid w:val="0"/>
          <w:color w:val="231F20"/>
          <w:spacing w:val="0"/>
          <w:w w:val="100"/>
          <w:kern w:val="0"/>
          <w:position w:val="0"/>
          <w:sz w:val="32"/>
          <w:szCs w:val="32"/>
          <w:lang w:val="en-US" w:eastAsia="zh-CN" w:bidi="ar-SA"/>
        </w:rPr>
        <w:t>山东科技大学</w:t>
      </w:r>
      <w:r>
        <w:rPr>
          <w:rFonts w:hint="default" w:ascii="仿宋_GB2312" w:hAnsi="仿宋_GB2312" w:eastAsia="仿宋_GB2312" w:cs="仿宋_GB2312"/>
          <w:snapToGrid w:val="0"/>
          <w:color w:val="231F20"/>
          <w:spacing w:val="0"/>
          <w:w w:val="100"/>
          <w:kern w:val="0"/>
          <w:position w:val="0"/>
          <w:sz w:val="32"/>
          <w:szCs w:val="32"/>
          <w:lang w:val="en-US" w:eastAsia="zh-CN" w:bidi="ar-SA"/>
        </w:rPr>
        <w:t>申报本科生教材数量为</w:t>
      </w:r>
      <w:r>
        <w:rPr>
          <w:rFonts w:hint="eastAsia" w:ascii="仿宋_GB2312" w:hAnsi="仿宋_GB2312" w:eastAsia="仿宋_GB2312" w:cs="仿宋_GB2312"/>
          <w:snapToGrid w:val="0"/>
          <w:color w:val="231F20"/>
          <w:spacing w:val="0"/>
          <w:w w:val="100"/>
          <w:kern w:val="0"/>
          <w:position w:val="0"/>
          <w:sz w:val="32"/>
          <w:szCs w:val="32"/>
          <w:lang w:val="en-US" w:eastAsia="zh-CN" w:bidi="ar-SA"/>
        </w:rPr>
        <w:t>6</w:t>
      </w:r>
      <w:r>
        <w:rPr>
          <w:rFonts w:hint="default" w:ascii="仿宋_GB2312" w:hAnsi="仿宋_GB2312" w:eastAsia="仿宋_GB2312" w:cs="仿宋_GB2312"/>
          <w:snapToGrid w:val="0"/>
          <w:color w:val="231F20"/>
          <w:spacing w:val="0"/>
          <w:w w:val="100"/>
          <w:kern w:val="0"/>
          <w:position w:val="0"/>
          <w:sz w:val="32"/>
          <w:szCs w:val="32"/>
          <w:lang w:val="en-US" w:eastAsia="zh-CN" w:bidi="ar-SA"/>
        </w:rPr>
        <w:t>种，其申报编号应为：</w:t>
      </w:r>
      <w:r>
        <w:rPr>
          <w:rFonts w:hint="eastAsia" w:ascii="仿宋_GB2312" w:hAnsi="仿宋_GB2312" w:eastAsia="仿宋_GB2312" w:cs="仿宋_GB2312"/>
          <w:snapToGrid w:val="0"/>
          <w:color w:val="231F20"/>
          <w:spacing w:val="0"/>
          <w:w w:val="100"/>
          <w:kern w:val="0"/>
          <w:position w:val="0"/>
          <w:sz w:val="32"/>
          <w:szCs w:val="32"/>
          <w:lang w:val="en-US" w:eastAsia="zh-CN" w:bidi="ar-SA"/>
        </w:rPr>
        <w:t>10424山东科技大学</w:t>
      </w:r>
      <w:r>
        <w:rPr>
          <w:rFonts w:hint="default" w:ascii="仿宋_GB2312" w:hAnsi="仿宋_GB2312" w:eastAsia="仿宋_GB2312" w:cs="仿宋_GB2312"/>
          <w:snapToGrid w:val="0"/>
          <w:color w:val="231F20"/>
          <w:spacing w:val="0"/>
          <w:w w:val="100"/>
          <w:kern w:val="0"/>
          <w:position w:val="0"/>
          <w:sz w:val="32"/>
          <w:szCs w:val="32"/>
          <w:lang w:val="en-US" w:eastAsia="zh-CN" w:bidi="ar-SA"/>
        </w:rPr>
        <w:t>—01、</w:t>
      </w:r>
      <w:r>
        <w:rPr>
          <w:rFonts w:hint="eastAsia" w:ascii="仿宋_GB2312" w:hAnsi="仿宋_GB2312" w:eastAsia="仿宋_GB2312" w:cs="仿宋_GB2312"/>
          <w:snapToGrid w:val="0"/>
          <w:color w:val="231F20"/>
          <w:spacing w:val="0"/>
          <w:w w:val="100"/>
          <w:kern w:val="0"/>
          <w:position w:val="0"/>
          <w:sz w:val="32"/>
          <w:szCs w:val="32"/>
          <w:lang w:val="en-US" w:eastAsia="zh-CN" w:bidi="ar-SA"/>
        </w:rPr>
        <w:t>10424山东科技大学</w:t>
      </w:r>
      <w:r>
        <w:rPr>
          <w:rFonts w:hint="default" w:ascii="仿宋_GB2312" w:hAnsi="仿宋_GB2312" w:eastAsia="仿宋_GB2312" w:cs="仿宋_GB2312"/>
          <w:snapToGrid w:val="0"/>
          <w:color w:val="231F20"/>
          <w:spacing w:val="0"/>
          <w:w w:val="100"/>
          <w:kern w:val="0"/>
          <w:position w:val="0"/>
          <w:sz w:val="32"/>
          <w:szCs w:val="32"/>
          <w:lang w:val="en-US" w:eastAsia="zh-CN" w:bidi="ar-SA"/>
        </w:rPr>
        <w:t>本科—02</w:t>
      </w:r>
      <w:r>
        <w:rPr>
          <w:rFonts w:hint="eastAsia" w:ascii="仿宋_GB2312" w:hAnsi="仿宋_GB2312" w:eastAsia="仿宋_GB2312" w:cs="仿宋_GB2312"/>
          <w:snapToGrid w:val="0"/>
          <w:color w:val="231F20"/>
          <w:spacing w:val="0"/>
          <w:w w:val="100"/>
          <w:kern w:val="0"/>
          <w:position w:val="0"/>
          <w:sz w:val="32"/>
          <w:szCs w:val="32"/>
          <w:lang w:val="en-US" w:eastAsia="zh-CN" w:bidi="ar-SA"/>
        </w:rPr>
        <w:t>……10424山东科技大学</w:t>
      </w:r>
      <w:r>
        <w:rPr>
          <w:rFonts w:hint="default" w:ascii="仿宋_GB2312" w:hAnsi="仿宋_GB2312" w:eastAsia="仿宋_GB2312" w:cs="仿宋_GB2312"/>
          <w:snapToGrid w:val="0"/>
          <w:color w:val="231F20"/>
          <w:spacing w:val="0"/>
          <w:w w:val="100"/>
          <w:kern w:val="0"/>
          <w:position w:val="0"/>
          <w:sz w:val="32"/>
          <w:szCs w:val="32"/>
          <w:lang w:val="en-US" w:eastAsia="zh-CN" w:bidi="ar-SA"/>
        </w:rPr>
        <w:t>本科—</w:t>
      </w:r>
      <w:r>
        <w:rPr>
          <w:rFonts w:hint="eastAsia" w:ascii="仿宋_GB2312" w:hAnsi="仿宋_GB2312" w:eastAsia="仿宋_GB2312" w:cs="仿宋_GB2312"/>
          <w:snapToGrid w:val="0"/>
          <w:color w:val="231F20"/>
          <w:spacing w:val="0"/>
          <w:w w:val="100"/>
          <w:kern w:val="0"/>
          <w:position w:val="0"/>
          <w:sz w:val="32"/>
          <w:szCs w:val="32"/>
          <w:lang w:val="en-US" w:eastAsia="zh-CN" w:bidi="ar-SA"/>
        </w:rPr>
        <w:t>06</w:t>
      </w:r>
      <w:r>
        <w:rPr>
          <w:rFonts w:hint="default" w:ascii="仿宋_GB2312" w:hAnsi="仿宋_GB2312" w:eastAsia="仿宋_GB2312" w:cs="仿宋_GB2312"/>
          <w:snapToGrid w:val="0"/>
          <w:color w:val="231F20"/>
          <w:spacing w:val="0"/>
          <w:w w:val="100"/>
          <w:kern w:val="0"/>
          <w:position w:val="0"/>
          <w:sz w:val="32"/>
          <w:szCs w:val="32"/>
          <w:lang w:val="en-US" w:eastAsia="zh-CN" w:bidi="ar-SA"/>
        </w:rPr>
        <w:t>。</w:t>
      </w:r>
    </w:p>
    <w:p w14:paraId="38E8661A">
      <w:pPr>
        <w:pStyle w:val="4"/>
        <w:keepNext w:val="0"/>
        <w:keepLines w:val="0"/>
        <w:pageBreakBefore w:val="0"/>
        <w:widowControl w:val="0"/>
        <w:kinsoku/>
        <w:wordWrap/>
        <w:overflowPunct/>
        <w:topLinePunct w:val="0"/>
        <w:autoSpaceDE/>
        <w:autoSpaceDN/>
        <w:bidi w:val="0"/>
        <w:adjustRightInd w:val="0"/>
        <w:snapToGrid w:val="0"/>
        <w:spacing w:after="0" w:line="560" w:lineRule="exact"/>
        <w:ind w:left="0" w:leftChars="0" w:right="0" w:rightChars="0" w:firstLine="640" w:firstLineChars="200"/>
        <w:jc w:val="both"/>
        <w:textAlignment w:val="auto"/>
        <w:rPr>
          <w:rFonts w:hint="eastAsia" w:ascii="黑体" w:hAnsi="黑体" w:eastAsia="黑体" w:cs="黑体"/>
          <w:snapToGrid w:val="0"/>
          <w:color w:val="231F20"/>
          <w:spacing w:val="0"/>
          <w:w w:val="100"/>
          <w:kern w:val="0"/>
          <w:position w:val="0"/>
          <w:sz w:val="32"/>
          <w:szCs w:val="32"/>
          <w:lang w:val="en-US" w:eastAsia="zh-CN" w:bidi="ar-SA"/>
        </w:rPr>
      </w:pPr>
      <w:r>
        <w:rPr>
          <w:rFonts w:hint="eastAsia" w:ascii="黑体" w:hAnsi="黑体" w:eastAsia="黑体" w:cs="黑体"/>
          <w:snapToGrid w:val="0"/>
          <w:color w:val="231F20"/>
          <w:spacing w:val="0"/>
          <w:w w:val="100"/>
          <w:kern w:val="0"/>
          <w:position w:val="0"/>
          <w:sz w:val="32"/>
          <w:szCs w:val="32"/>
          <w:lang w:val="en-US" w:eastAsia="zh-CN" w:bidi="ar-SA"/>
        </w:rPr>
        <w:t>五、其他要求</w:t>
      </w:r>
    </w:p>
    <w:p w14:paraId="3A1ABF70">
      <w:pPr>
        <w:overflowPunct w:val="0"/>
        <w:spacing w:line="560" w:lineRule="exact"/>
        <w:ind w:firstLine="640" w:firstLineChars="200"/>
        <w:rPr>
          <w:rFonts w:hint="eastAsia" w:ascii="仿宋_GB2312" w:eastAsia="仿宋_GB2312"/>
          <w:color w:val="auto"/>
          <w:sz w:val="32"/>
          <w:szCs w:val="32"/>
        </w:rPr>
      </w:pP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一</w:t>
      </w:r>
      <w:r>
        <w:rPr>
          <w:rFonts w:hint="eastAsia" w:ascii="仿宋_GB2312" w:eastAsia="仿宋_GB2312"/>
          <w:color w:val="auto"/>
          <w:sz w:val="32"/>
          <w:szCs w:val="32"/>
          <w:lang w:eastAsia="zh-CN"/>
        </w:rPr>
        <w:t>）</w:t>
      </w:r>
      <w:r>
        <w:rPr>
          <w:rFonts w:hint="eastAsia" w:ascii="仿宋_GB2312" w:eastAsia="仿宋_GB2312"/>
          <w:color w:val="auto"/>
          <w:sz w:val="32"/>
          <w:szCs w:val="32"/>
        </w:rPr>
        <w:t>本次</w:t>
      </w:r>
      <w:r>
        <w:rPr>
          <w:rFonts w:hint="eastAsia" w:ascii="仿宋_GB2312" w:eastAsia="仿宋_GB2312"/>
          <w:color w:val="auto"/>
          <w:sz w:val="32"/>
          <w:szCs w:val="32"/>
          <w:lang w:val="en-US" w:eastAsia="zh-CN"/>
        </w:rPr>
        <w:t>遴选</w:t>
      </w:r>
      <w:r>
        <w:rPr>
          <w:rFonts w:hint="eastAsia" w:ascii="仿宋_GB2312" w:eastAsia="仿宋_GB2312"/>
          <w:color w:val="auto"/>
          <w:sz w:val="32"/>
          <w:szCs w:val="32"/>
        </w:rPr>
        <w:t>评审专家由各高校推荐，我厅根据工作需要遴选确定。每所高校推荐的专家数量</w:t>
      </w:r>
      <w:r>
        <w:rPr>
          <w:rFonts w:hint="eastAsia" w:ascii="仿宋_GB2312" w:eastAsia="仿宋_GB2312"/>
          <w:color w:val="auto"/>
          <w:sz w:val="32"/>
          <w:szCs w:val="32"/>
          <w:lang w:val="en-US" w:eastAsia="zh-CN"/>
        </w:rPr>
        <w:t>一般</w:t>
      </w:r>
      <w:r>
        <w:rPr>
          <w:rFonts w:hint="eastAsia" w:ascii="仿宋_GB2312" w:eastAsia="仿宋_GB2312"/>
          <w:color w:val="auto"/>
          <w:sz w:val="32"/>
          <w:szCs w:val="32"/>
        </w:rPr>
        <w:t>不低于学校申报限额的3倍</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其中，申报限额为1项的，推荐专家数量不低于5名；鼓励硕博学位授权高校推荐更多数量专家</w:t>
      </w:r>
      <w:r>
        <w:rPr>
          <w:rFonts w:hint="eastAsia" w:ascii="仿宋_GB2312" w:eastAsia="仿宋_GB2312"/>
          <w:color w:val="auto"/>
          <w:sz w:val="32"/>
          <w:szCs w:val="32"/>
          <w:lang w:eastAsia="zh-CN"/>
        </w:rPr>
        <w:t>）</w:t>
      </w:r>
      <w:r>
        <w:rPr>
          <w:rFonts w:hint="eastAsia" w:ascii="仿宋_GB2312" w:eastAsia="仿宋_GB2312"/>
          <w:color w:val="auto"/>
          <w:sz w:val="32"/>
          <w:szCs w:val="32"/>
        </w:rPr>
        <w:t>，相同专业领域的专家</w:t>
      </w:r>
      <w:r>
        <w:rPr>
          <w:rFonts w:hint="eastAsia" w:ascii="仿宋_GB2312" w:eastAsia="仿宋_GB2312"/>
          <w:color w:val="auto"/>
          <w:sz w:val="32"/>
          <w:szCs w:val="32"/>
          <w:lang w:val="en-US" w:eastAsia="zh-CN"/>
        </w:rPr>
        <w:t>一般</w:t>
      </w:r>
      <w:r>
        <w:rPr>
          <w:rFonts w:hint="eastAsia" w:ascii="仿宋_GB2312" w:eastAsia="仿宋_GB2312"/>
          <w:color w:val="auto"/>
          <w:sz w:val="32"/>
          <w:szCs w:val="32"/>
        </w:rPr>
        <w:t>不超过</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名；推荐的专家应具有副高及以上专业技术职务，熟悉</w:t>
      </w:r>
      <w:r>
        <w:rPr>
          <w:rFonts w:hint="eastAsia" w:ascii="仿宋_GB2312" w:eastAsia="仿宋_GB2312"/>
          <w:color w:val="auto"/>
          <w:sz w:val="32"/>
          <w:szCs w:val="32"/>
          <w:lang w:val="en-US" w:eastAsia="zh-CN"/>
        </w:rPr>
        <w:t>课程教材、教学改革项目等教学</w:t>
      </w:r>
      <w:r>
        <w:rPr>
          <w:rFonts w:hint="eastAsia" w:ascii="仿宋_GB2312" w:eastAsia="仿宋_GB2312"/>
          <w:color w:val="auto"/>
          <w:sz w:val="32"/>
          <w:szCs w:val="32"/>
        </w:rPr>
        <w:t>工作。请各高校于</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26</w:t>
      </w:r>
      <w:r>
        <w:rPr>
          <w:rFonts w:hint="eastAsia" w:ascii="仿宋_GB2312" w:eastAsia="仿宋_GB2312"/>
          <w:color w:val="auto"/>
          <w:sz w:val="32"/>
          <w:szCs w:val="32"/>
        </w:rPr>
        <w:t>日前登录“山东教育通用工作平台”填报推荐专家信息表（附件4）。</w:t>
      </w:r>
    </w:p>
    <w:p w14:paraId="21C3FC05">
      <w:pPr>
        <w:overflowPunct w:val="0"/>
        <w:spacing w:line="560" w:lineRule="exact"/>
        <w:ind w:firstLine="640" w:firstLineChars="200"/>
        <w:rPr>
          <w:rFonts w:hint="default"/>
          <w:color w:val="auto"/>
          <w:lang w:val="en-US" w:eastAsia="zh-CN"/>
        </w:rPr>
      </w:pPr>
      <w:r>
        <w:rPr>
          <w:rFonts w:hint="eastAsia" w:ascii="仿宋_GB2312" w:hAnsi="仿宋_GB2312" w:eastAsia="仿宋_GB2312" w:cs="仿宋_GB2312"/>
          <w:snapToGrid w:val="0"/>
          <w:color w:val="auto"/>
          <w:spacing w:val="0"/>
          <w:w w:val="100"/>
          <w:kern w:val="0"/>
          <w:position w:val="0"/>
          <w:sz w:val="32"/>
          <w:szCs w:val="32"/>
          <w:lang w:val="en-US" w:eastAsia="zh-CN" w:bidi="ar-SA"/>
        </w:rPr>
        <w:t>（二）</w:t>
      </w:r>
      <w:r>
        <w:rPr>
          <w:rFonts w:hint="default" w:ascii="仿宋_GB2312" w:hAnsi="仿宋_GB2312" w:eastAsia="仿宋_GB2312" w:cs="仿宋_GB2312"/>
          <w:snapToGrid w:val="0"/>
          <w:color w:val="auto"/>
          <w:spacing w:val="0"/>
          <w:w w:val="100"/>
          <w:kern w:val="0"/>
          <w:position w:val="0"/>
          <w:sz w:val="32"/>
          <w:szCs w:val="32"/>
          <w:lang w:val="en-US" w:eastAsia="zh-CN" w:bidi="ar-SA"/>
        </w:rPr>
        <w:t>各高校</w:t>
      </w:r>
      <w:r>
        <w:rPr>
          <w:rFonts w:hint="eastAsia" w:ascii="仿宋_GB2312" w:hAnsi="仿宋_GB2312" w:eastAsia="仿宋_GB2312" w:cs="仿宋_GB2312"/>
          <w:snapToGrid w:val="0"/>
          <w:color w:val="auto"/>
          <w:spacing w:val="0"/>
          <w:w w:val="100"/>
          <w:kern w:val="0"/>
          <w:position w:val="0"/>
          <w:sz w:val="32"/>
          <w:szCs w:val="32"/>
          <w:lang w:val="en-US" w:eastAsia="zh-CN" w:bidi="ar-SA"/>
        </w:rPr>
        <w:t>要高度重视本次“</w:t>
      </w:r>
      <w:r>
        <w:rPr>
          <w:rFonts w:hint="eastAsia" w:ascii="仿宋_GB2312" w:eastAsia="仿宋_GB2312"/>
          <w:color w:val="auto"/>
          <w:kern w:val="0"/>
          <w:sz w:val="32"/>
          <w:szCs w:val="32"/>
          <w:lang w:val="en-US" w:eastAsia="zh-CN"/>
        </w:rPr>
        <w:t>十四五”普通高等教育本科国家级规划教材申报工作，</w:t>
      </w:r>
      <w:r>
        <w:rPr>
          <w:rFonts w:hint="default" w:ascii="仿宋_GB2312" w:hAnsi="仿宋_GB2312" w:eastAsia="仿宋_GB2312" w:cs="仿宋_GB2312"/>
          <w:snapToGrid w:val="0"/>
          <w:color w:val="auto"/>
          <w:spacing w:val="0"/>
          <w:w w:val="100"/>
          <w:kern w:val="0"/>
          <w:position w:val="0"/>
          <w:sz w:val="32"/>
          <w:szCs w:val="32"/>
          <w:lang w:val="en-US" w:eastAsia="zh-CN" w:bidi="ar-SA"/>
        </w:rPr>
        <w:t>要</w:t>
      </w:r>
      <w:r>
        <w:rPr>
          <w:rFonts w:hint="eastAsia" w:ascii="仿宋_GB2312" w:hAnsi="仿宋_GB2312" w:eastAsia="仿宋_GB2312" w:cs="仿宋_GB2312"/>
          <w:snapToGrid w:val="0"/>
          <w:color w:val="auto"/>
          <w:spacing w:val="0"/>
          <w:w w:val="100"/>
          <w:kern w:val="0"/>
          <w:position w:val="0"/>
          <w:sz w:val="32"/>
          <w:szCs w:val="32"/>
          <w:lang w:val="en-US" w:eastAsia="zh-CN" w:bidi="ar-SA"/>
        </w:rPr>
        <w:t>高标准</w:t>
      </w:r>
      <w:r>
        <w:rPr>
          <w:rFonts w:hint="default" w:ascii="仿宋_GB2312" w:hAnsi="仿宋_GB2312" w:eastAsia="仿宋_GB2312" w:cs="仿宋_GB2312"/>
          <w:snapToGrid w:val="0"/>
          <w:color w:val="auto"/>
          <w:spacing w:val="0"/>
          <w:w w:val="100"/>
          <w:kern w:val="0"/>
          <w:position w:val="0"/>
          <w:sz w:val="32"/>
          <w:szCs w:val="32"/>
          <w:lang w:val="en-US" w:eastAsia="zh-CN" w:bidi="ar-SA"/>
        </w:rPr>
        <w:t>把握评选条件，严格按照评选条件和规定程序</w:t>
      </w:r>
      <w:r>
        <w:rPr>
          <w:rFonts w:hint="eastAsia" w:ascii="仿宋_GB2312" w:hAnsi="仿宋_GB2312" w:eastAsia="仿宋_GB2312" w:cs="仿宋_GB2312"/>
          <w:snapToGrid w:val="0"/>
          <w:color w:val="auto"/>
          <w:spacing w:val="0"/>
          <w:w w:val="100"/>
          <w:kern w:val="0"/>
          <w:position w:val="0"/>
          <w:sz w:val="32"/>
          <w:szCs w:val="32"/>
          <w:lang w:val="en-US" w:eastAsia="zh-CN" w:bidi="ar-SA"/>
        </w:rPr>
        <w:t>，在规定时间内高质量完成申报</w:t>
      </w:r>
      <w:r>
        <w:rPr>
          <w:rFonts w:hint="default" w:ascii="仿宋_GB2312" w:hAnsi="仿宋_GB2312" w:eastAsia="仿宋_GB2312" w:cs="仿宋_GB2312"/>
          <w:snapToGrid w:val="0"/>
          <w:color w:val="auto"/>
          <w:spacing w:val="0"/>
          <w:w w:val="100"/>
          <w:kern w:val="0"/>
          <w:position w:val="0"/>
          <w:sz w:val="32"/>
          <w:szCs w:val="32"/>
          <w:lang w:val="en-US" w:eastAsia="zh-CN" w:bidi="ar-SA"/>
        </w:rPr>
        <w:t>工作</w:t>
      </w:r>
      <w:r>
        <w:rPr>
          <w:rFonts w:hint="eastAsia" w:ascii="仿宋_GB2312" w:eastAsia="仿宋_GB2312"/>
          <w:color w:val="auto"/>
          <w:kern w:val="0"/>
          <w:sz w:val="32"/>
          <w:szCs w:val="32"/>
          <w:lang w:val="en-US" w:eastAsia="zh-CN"/>
        </w:rPr>
        <w:t>，并以此为契机进一步提升教材建设质量</w:t>
      </w:r>
      <w:r>
        <w:rPr>
          <w:rFonts w:hint="default" w:ascii="仿宋_GB2312" w:hAnsi="仿宋_GB2312" w:eastAsia="仿宋_GB2312" w:cs="仿宋_GB2312"/>
          <w:snapToGrid w:val="0"/>
          <w:color w:val="auto"/>
          <w:spacing w:val="0"/>
          <w:w w:val="100"/>
          <w:kern w:val="0"/>
          <w:position w:val="0"/>
          <w:sz w:val="32"/>
          <w:szCs w:val="32"/>
          <w:lang w:val="en-US" w:eastAsia="zh-CN" w:bidi="ar-SA"/>
        </w:rPr>
        <w:t>。</w:t>
      </w:r>
    </w:p>
    <w:p w14:paraId="052916AD">
      <w:pPr>
        <w:pStyle w:val="4"/>
        <w:keepNext w:val="0"/>
        <w:keepLines w:val="0"/>
        <w:pageBreakBefore w:val="0"/>
        <w:widowControl w:val="0"/>
        <w:kinsoku/>
        <w:wordWrap/>
        <w:overflowPunct/>
        <w:topLinePunct w:val="0"/>
        <w:autoSpaceDE/>
        <w:autoSpaceDN/>
        <w:bidi w:val="0"/>
        <w:adjustRightInd w:val="0"/>
        <w:snapToGrid w:val="0"/>
        <w:spacing w:after="0" w:line="560" w:lineRule="exact"/>
        <w:ind w:left="0" w:leftChars="0" w:right="0" w:rightChars="0" w:firstLine="640" w:firstLineChars="200"/>
        <w:jc w:val="both"/>
        <w:textAlignment w:val="auto"/>
        <w:rPr>
          <w:rFonts w:hint="default" w:ascii="仿宋_GB2312" w:hAnsi="仿宋_GB2312" w:eastAsia="仿宋_GB2312" w:cs="仿宋_GB2312"/>
          <w:snapToGrid w:val="0"/>
          <w:color w:val="231F20"/>
          <w:spacing w:val="0"/>
          <w:w w:val="100"/>
          <w:kern w:val="0"/>
          <w:position w:val="0"/>
          <w:sz w:val="32"/>
          <w:szCs w:val="32"/>
          <w:lang w:val="en-US" w:eastAsia="zh-CN" w:bidi="ar-SA"/>
        </w:rPr>
      </w:pPr>
      <w:r>
        <w:rPr>
          <w:rFonts w:hint="default" w:ascii="仿宋_GB2312" w:hAnsi="仿宋_GB2312" w:eastAsia="仿宋_GB2312" w:cs="仿宋_GB2312"/>
          <w:snapToGrid w:val="0"/>
          <w:color w:val="231F20"/>
          <w:spacing w:val="0"/>
          <w:w w:val="100"/>
          <w:kern w:val="0"/>
          <w:position w:val="0"/>
          <w:sz w:val="32"/>
          <w:szCs w:val="32"/>
          <w:lang w:val="en-US" w:eastAsia="zh-CN" w:bidi="ar-SA"/>
        </w:rPr>
        <w:t>高等教育处联系人：</w:t>
      </w:r>
      <w:r>
        <w:rPr>
          <w:rFonts w:hint="eastAsia" w:ascii="仿宋_GB2312" w:hAnsi="仿宋_GB2312" w:eastAsia="仿宋_GB2312" w:cs="仿宋_GB2312"/>
          <w:snapToGrid w:val="0"/>
          <w:color w:val="231F20"/>
          <w:spacing w:val="0"/>
          <w:w w:val="100"/>
          <w:kern w:val="0"/>
          <w:position w:val="0"/>
          <w:sz w:val="32"/>
          <w:szCs w:val="32"/>
          <w:lang w:val="en-US" w:eastAsia="zh-CN" w:bidi="ar-SA"/>
        </w:rPr>
        <w:t>尹凤杰</w:t>
      </w:r>
      <w:r>
        <w:rPr>
          <w:rFonts w:hint="default" w:ascii="仿宋_GB2312" w:hAnsi="仿宋_GB2312" w:eastAsia="仿宋_GB2312" w:cs="仿宋_GB2312"/>
          <w:snapToGrid w:val="0"/>
          <w:color w:val="231F20"/>
          <w:spacing w:val="0"/>
          <w:w w:val="100"/>
          <w:kern w:val="0"/>
          <w:position w:val="0"/>
          <w:sz w:val="32"/>
          <w:szCs w:val="32"/>
          <w:lang w:val="en-US" w:eastAsia="zh-CN" w:bidi="ar-SA"/>
        </w:rPr>
        <w:t>、代善成，联系电话：0531—517937</w:t>
      </w:r>
      <w:r>
        <w:rPr>
          <w:rFonts w:hint="eastAsia" w:ascii="仿宋_GB2312" w:hAnsi="仿宋_GB2312" w:eastAsia="仿宋_GB2312" w:cs="仿宋_GB2312"/>
          <w:snapToGrid w:val="0"/>
          <w:color w:val="231F20"/>
          <w:spacing w:val="0"/>
          <w:w w:val="100"/>
          <w:kern w:val="0"/>
          <w:position w:val="0"/>
          <w:sz w:val="32"/>
          <w:szCs w:val="32"/>
          <w:lang w:val="en-US" w:eastAsia="zh-CN" w:bidi="ar-SA"/>
        </w:rPr>
        <w:t>80、3781。</w:t>
      </w:r>
    </w:p>
    <w:p w14:paraId="264432E2">
      <w:pPr>
        <w:keepNext w:val="0"/>
        <w:keepLines w:val="0"/>
        <w:pageBreakBefore w:val="0"/>
        <w:widowControl w:val="0"/>
        <w:kinsoku/>
        <w:wordWrap/>
        <w:overflowPunct/>
        <w:topLinePunct w:val="0"/>
        <w:bidi w:val="0"/>
        <w:adjustRightInd w:val="0"/>
        <w:snapToGrid w:val="0"/>
        <w:spacing w:line="560" w:lineRule="exact"/>
        <w:ind w:left="0" w:leftChars="0" w:right="0" w:rightChars="0" w:firstLine="640" w:firstLineChars="200"/>
        <w:textAlignment w:val="auto"/>
        <w:rPr>
          <w:rFonts w:hint="eastAsia" w:ascii="仿宋_GB2312" w:eastAsia="仿宋_GB2312"/>
          <w:color w:val="auto"/>
          <w:kern w:val="0"/>
          <w:sz w:val="32"/>
          <w:szCs w:val="32"/>
        </w:rPr>
      </w:pPr>
    </w:p>
    <w:p w14:paraId="32F4BBB1">
      <w:pPr>
        <w:pStyle w:val="4"/>
        <w:keepNext w:val="0"/>
        <w:keepLines w:val="0"/>
        <w:pageBreakBefore w:val="0"/>
        <w:widowControl w:val="0"/>
        <w:kinsoku/>
        <w:wordWrap/>
        <w:overflowPunct/>
        <w:topLinePunct w:val="0"/>
        <w:bidi w:val="0"/>
        <w:adjustRightInd w:val="0"/>
        <w:snapToGrid w:val="0"/>
        <w:spacing w:after="0" w:line="560" w:lineRule="exact"/>
        <w:ind w:left="0" w:leftChars="0" w:firstLine="640" w:firstLineChars="200"/>
        <w:textAlignment w:val="auto"/>
        <w:rPr>
          <w:rFonts w:hint="eastAsia"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附件：1.“十四五”普通高等教育本科国家级规划教材申报</w:t>
      </w:r>
    </w:p>
    <w:p w14:paraId="106FCCE4">
      <w:pPr>
        <w:pStyle w:val="4"/>
        <w:keepNext w:val="0"/>
        <w:keepLines w:val="0"/>
        <w:pageBreakBefore w:val="0"/>
        <w:widowControl w:val="0"/>
        <w:kinsoku/>
        <w:wordWrap/>
        <w:overflowPunct/>
        <w:topLinePunct w:val="0"/>
        <w:bidi w:val="0"/>
        <w:adjustRightInd w:val="0"/>
        <w:snapToGrid w:val="0"/>
        <w:spacing w:after="0" w:line="560" w:lineRule="exact"/>
        <w:ind w:left="0" w:leftChars="0" w:firstLine="1920" w:firstLineChars="600"/>
        <w:textAlignment w:val="auto"/>
        <w:rPr>
          <w:rFonts w:hint="eastAsia"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限额</w:t>
      </w:r>
    </w:p>
    <w:p w14:paraId="3F1B1468">
      <w:pPr>
        <w:pStyle w:val="4"/>
        <w:keepNext w:val="0"/>
        <w:keepLines w:val="0"/>
        <w:pageBreakBefore w:val="0"/>
        <w:widowControl w:val="0"/>
        <w:kinsoku/>
        <w:wordWrap/>
        <w:overflowPunct/>
        <w:topLinePunct w:val="0"/>
        <w:bidi w:val="0"/>
        <w:adjustRightInd w:val="0"/>
        <w:snapToGrid w:val="0"/>
        <w:spacing w:after="0" w:line="560" w:lineRule="exact"/>
        <w:ind w:left="1918" w:leftChars="304" w:hanging="1280" w:hangingChars="400"/>
        <w:textAlignment w:val="auto"/>
        <w:rPr>
          <w:rFonts w:hint="default"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 xml:space="preserve">      2.“十四五”普通高等教育本科国家级规划教材申报书等</w:t>
      </w:r>
    </w:p>
    <w:p w14:paraId="1E7A63C0">
      <w:pPr>
        <w:pStyle w:val="4"/>
        <w:keepNext w:val="0"/>
        <w:keepLines w:val="0"/>
        <w:pageBreakBefore w:val="0"/>
        <w:widowControl w:val="0"/>
        <w:kinsoku/>
        <w:wordWrap/>
        <w:overflowPunct/>
        <w:topLinePunct w:val="0"/>
        <w:bidi w:val="0"/>
        <w:adjustRightInd w:val="0"/>
        <w:snapToGrid w:val="0"/>
        <w:spacing w:after="0" w:line="560" w:lineRule="exact"/>
        <w:ind w:left="1916" w:leftChars="760" w:hanging="320" w:hangingChars="100"/>
        <w:textAlignment w:val="auto"/>
        <w:rPr>
          <w:rFonts w:hint="default" w:ascii="仿宋_GB2312" w:eastAsia="仿宋_GB2312"/>
          <w:color w:val="auto"/>
          <w:kern w:val="0"/>
          <w:sz w:val="32"/>
          <w:szCs w:val="32"/>
          <w:lang w:val="en-US" w:eastAsia="zh-CN"/>
        </w:rPr>
      </w:pPr>
      <w:r>
        <w:rPr>
          <w:rFonts w:hint="eastAsia" w:ascii="仿宋_GB2312" w:eastAsia="仿宋_GB2312"/>
          <w:color w:val="auto"/>
          <w:kern w:val="0"/>
          <w:sz w:val="32"/>
          <w:szCs w:val="32"/>
          <w:lang w:val="en-US" w:eastAsia="zh-CN"/>
        </w:rPr>
        <w:t>3.“十四五”普通高等教育本科国家级规划教材推荐名单汇总表</w:t>
      </w:r>
    </w:p>
    <w:p w14:paraId="1FF76BD5">
      <w:pPr>
        <w:pStyle w:val="3"/>
        <w:keepNext w:val="0"/>
        <w:keepLines w:val="0"/>
        <w:pageBreakBefore w:val="0"/>
        <w:widowControl w:val="0"/>
        <w:kinsoku/>
        <w:wordWrap/>
        <w:overflowPunct/>
        <w:topLinePunct w:val="0"/>
        <w:bidi w:val="0"/>
        <w:adjustRightInd w:val="0"/>
        <w:snapToGrid w:val="0"/>
        <w:spacing w:after="0" w:line="560" w:lineRule="exact"/>
        <w:ind w:left="0" w:leftChars="0" w:firstLine="1600" w:firstLineChars="500"/>
        <w:textAlignment w:val="auto"/>
        <w:rPr>
          <w:rFonts w:hint="default" w:ascii="仿宋_GB2312" w:eastAsia="仿宋_GB2312"/>
          <w:color w:val="auto"/>
          <w:kern w:val="0"/>
          <w:sz w:val="32"/>
          <w:szCs w:val="32"/>
          <w:lang w:val="en-US" w:eastAsia="zh-CN"/>
        </w:rPr>
      </w:pPr>
      <w:r>
        <w:rPr>
          <w:rFonts w:hint="eastAsia" w:ascii="仿宋_GB2312" w:eastAsia="仿宋_GB2312"/>
          <w:color w:val="auto"/>
          <w:sz w:val="32"/>
          <w:szCs w:val="32"/>
        </w:rPr>
        <w:t>4.推荐评审专家信息表</w:t>
      </w:r>
    </w:p>
    <w:p w14:paraId="1AABC10C">
      <w:pPr>
        <w:keepNext w:val="0"/>
        <w:keepLines w:val="0"/>
        <w:pageBreakBefore w:val="0"/>
        <w:widowControl w:val="0"/>
        <w:shd w:val="clear" w:color="000000" w:fill="auto"/>
        <w:kinsoku/>
        <w:wordWrap/>
        <w:overflowPunct/>
        <w:topLinePunct w:val="0"/>
        <w:bidi w:val="0"/>
        <w:adjustRightInd w:val="0"/>
        <w:snapToGrid w:val="0"/>
        <w:spacing w:line="580" w:lineRule="exact"/>
        <w:ind w:left="0" w:leftChars="0" w:right="0" w:rightChars="0"/>
        <w:jc w:val="center"/>
        <w:textAlignment w:val="auto"/>
        <w:rPr>
          <w:rFonts w:hint="eastAsia" w:ascii="方正小标宋_GBK" w:hAnsi="方正小标宋_GBK" w:eastAsia="方正小标宋_GBK" w:cs="方正小标宋_GBK"/>
          <w:color w:val="000000"/>
          <w:kern w:val="0"/>
          <w:sz w:val="44"/>
        </w:rPr>
      </w:pPr>
    </w:p>
    <w:p w14:paraId="54235CD1">
      <w:pPr>
        <w:keepNext w:val="0"/>
        <w:keepLines w:val="0"/>
        <w:pageBreakBefore w:val="0"/>
        <w:widowControl w:val="0"/>
        <w:kinsoku/>
        <w:wordWrap/>
        <w:overflowPunct/>
        <w:topLinePunct w:val="0"/>
        <w:autoSpaceDE/>
        <w:autoSpaceDN/>
        <w:bidi w:val="0"/>
        <w:adjustRightInd w:val="0"/>
        <w:snapToGrid w:val="0"/>
        <w:spacing w:line="580" w:lineRule="exact"/>
        <w:ind w:left="0" w:leftChars="0" w:right="0" w:rightChars="0"/>
        <w:textAlignment w:val="auto"/>
        <w:rPr>
          <w:rFonts w:hint="eastAsia"/>
          <w:color w:val="auto"/>
          <w:kern w:val="0"/>
        </w:rPr>
        <w:sectPr>
          <w:footerReference r:id="rId5" w:type="first"/>
          <w:footerReference r:id="rId3" w:type="default"/>
          <w:footerReference r:id="rId4" w:type="even"/>
          <w:pgSz w:w="11906" w:h="16838"/>
          <w:pgMar w:top="1871" w:right="1531" w:bottom="1984" w:left="1531" w:header="851" w:footer="992" w:gutter="0"/>
          <w:cols w:space="0" w:num="1"/>
          <w:titlePg/>
          <w:rtlGutter w:val="0"/>
          <w:docGrid w:type="lines" w:linePitch="312" w:charSpace="0"/>
        </w:sectPr>
      </w:pPr>
    </w:p>
    <w:p w14:paraId="21B9CAE5">
      <w:pPr>
        <w:pStyle w:val="4"/>
        <w:keepNext w:val="0"/>
        <w:keepLines w:val="0"/>
        <w:pageBreakBefore w:val="0"/>
        <w:widowControl w:val="0"/>
        <w:kinsoku/>
        <w:wordWrap/>
        <w:overflowPunct/>
        <w:topLinePunct w:val="0"/>
        <w:autoSpaceDE/>
        <w:autoSpaceDN/>
        <w:bidi w:val="0"/>
        <w:adjustRightInd w:val="0"/>
        <w:snapToGrid w:val="0"/>
        <w:spacing w:after="0" w:line="580" w:lineRule="exact"/>
        <w:ind w:left="0" w:leftChars="0" w:firstLine="0" w:firstLineChars="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14:paraId="6EC0F505">
      <w:pPr>
        <w:spacing w:line="580" w:lineRule="exact"/>
        <w:ind w:left="0" w:firstLine="0"/>
        <w:jc w:val="center"/>
        <w:rPr>
          <w:rFonts w:hint="eastAsia"/>
          <w:color w:val="auto"/>
          <w:lang w:val="en-US" w:eastAsia="zh-CN"/>
        </w:rPr>
      </w:pPr>
      <w:r>
        <w:rPr>
          <w:rFonts w:hint="eastAsia" w:ascii="方正小标宋简体" w:hAnsi="方正小标宋简体" w:eastAsia="方正小标宋简体"/>
          <w:snapToGrid w:val="0"/>
          <w:color w:val="auto"/>
          <w:spacing w:val="0"/>
          <w:w w:val="100"/>
          <w:position w:val="0"/>
          <w:sz w:val="44"/>
        </w:rPr>
        <w:t>“十四五”普通高等教育本科国家级规划教材申报限额</w:t>
      </w:r>
    </w:p>
    <w:tbl>
      <w:tblPr>
        <w:tblStyle w:val="7"/>
        <w:tblW w:w="88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505"/>
        <w:gridCol w:w="1178"/>
        <w:gridCol w:w="1351"/>
        <w:gridCol w:w="2811"/>
        <w:gridCol w:w="1052"/>
      </w:tblGrid>
      <w:tr w14:paraId="17D12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C7B10D">
            <w:pPr>
              <w:keepNext w:val="0"/>
              <w:keepLines w:val="0"/>
              <w:widowControl/>
              <w:suppressLineNumbers w:val="0"/>
              <w:jc w:val="center"/>
              <w:textAlignment w:val="center"/>
              <w:rPr>
                <w:rFonts w:hint="eastAsia" w:ascii="黑体" w:hAnsi="黑体" w:eastAsia="黑体" w:cs="黑体"/>
                <w:b w:val="0"/>
                <w:bCs w:val="0"/>
                <w:i w:val="0"/>
                <w:color w:val="000000" w:themeColor="text1"/>
                <w:kern w:val="0"/>
                <w:sz w:val="24"/>
                <w:szCs w:val="24"/>
                <w:u w:val="none"/>
                <w:lang w:val="en-US" w:eastAsia="zh-CN" w:bidi="ar"/>
                <w14:textFill>
                  <w14:solidFill>
                    <w14:schemeClr w14:val="tx1">
                      <w14:alpha w14:val="0"/>
                    </w14:schemeClr>
                  </w14:solidFill>
                </w14:textFill>
              </w:rPr>
            </w:pPr>
            <w:r>
              <w:rPr>
                <w:rFonts w:hint="eastAsia" w:ascii="黑体" w:hAnsi="黑体" w:eastAsia="黑体" w:cs="黑体"/>
                <w:b w:val="0"/>
                <w:bCs w:val="0"/>
                <w:i w:val="0"/>
                <w:color w:val="000000" w:themeColor="text1"/>
                <w:kern w:val="0"/>
                <w:sz w:val="24"/>
                <w:szCs w:val="24"/>
                <w:u w:val="none"/>
                <w:lang w:val="en-US" w:eastAsia="zh-CN" w:bidi="ar"/>
                <w14:textFill>
                  <w14:solidFill>
                    <w14:schemeClr w14:val="tx1">
                      <w14:alpha w14:val="0"/>
                    </w14:schemeClr>
                  </w14:solidFill>
                </w14:textFill>
              </w:rPr>
              <w:t>学校名称</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A8574">
            <w:pPr>
              <w:keepNext w:val="0"/>
              <w:keepLines w:val="0"/>
              <w:widowControl/>
              <w:suppressLineNumbers w:val="0"/>
              <w:jc w:val="center"/>
              <w:textAlignment w:val="center"/>
              <w:rPr>
                <w:rFonts w:hint="eastAsia" w:ascii="黑体" w:hAnsi="黑体" w:eastAsia="黑体" w:cs="黑体"/>
                <w:b w:val="0"/>
                <w:bCs w:val="0"/>
                <w:i w:val="0"/>
                <w:color w:val="000000" w:themeColor="text1"/>
                <w:kern w:val="0"/>
                <w:sz w:val="22"/>
                <w:szCs w:val="22"/>
                <w:u w:val="none"/>
                <w:lang w:val="en-US" w:eastAsia="zh-CN" w:bidi="ar"/>
                <w14:textFill>
                  <w14:solidFill>
                    <w14:schemeClr w14:val="tx1">
                      <w14:alpha w14:val="0"/>
                    </w14:schemeClr>
                  </w14:solidFill>
                </w14:textFill>
              </w:rPr>
            </w:pPr>
            <w:r>
              <w:rPr>
                <w:rFonts w:hint="eastAsia" w:ascii="黑体" w:hAnsi="黑体" w:eastAsia="黑体" w:cs="黑体"/>
                <w:b w:val="0"/>
                <w:bCs w:val="0"/>
                <w:i w:val="0"/>
                <w:color w:val="000000" w:themeColor="text1"/>
                <w:kern w:val="0"/>
                <w:sz w:val="22"/>
                <w:szCs w:val="22"/>
                <w:u w:val="none"/>
                <w:lang w:val="en-US" w:eastAsia="zh-CN" w:bidi="ar"/>
                <w14:textFill>
                  <w14:solidFill>
                    <w14:schemeClr w14:val="tx1">
                      <w14:alpha w14:val="0"/>
                    </w14:schemeClr>
                  </w14:solidFill>
                </w14:textFill>
              </w:rPr>
              <w:t>申报限额</w:t>
            </w:r>
          </w:p>
        </w:tc>
        <w:tc>
          <w:tcPr>
            <w:tcW w:w="1351" w:type="dxa"/>
            <w:vMerge w:val="restart"/>
            <w:tcBorders>
              <w:top w:val="single" w:color="000000" w:sz="4" w:space="0"/>
              <w:left w:val="single" w:color="000000" w:sz="4" w:space="0"/>
              <w:right w:val="single" w:color="000000" w:sz="4" w:space="0"/>
            </w:tcBorders>
            <w:shd w:val="clear" w:color="auto" w:fill="auto"/>
            <w:noWrap/>
            <w:tcMar>
              <w:top w:w="15" w:type="dxa"/>
              <w:left w:w="15" w:type="dxa"/>
              <w:right w:w="15" w:type="dxa"/>
            </w:tcMar>
            <w:vAlign w:val="center"/>
          </w:tcPr>
          <w:p w14:paraId="4FFD73B6">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5FDA78">
            <w:pPr>
              <w:keepNext w:val="0"/>
              <w:keepLines w:val="0"/>
              <w:widowControl/>
              <w:suppressLineNumbers w:val="0"/>
              <w:jc w:val="center"/>
              <w:textAlignment w:val="center"/>
              <w:rPr>
                <w:rFonts w:hint="eastAsia" w:ascii="黑体" w:hAnsi="黑体" w:eastAsia="黑体" w:cs="黑体"/>
                <w:i w:val="0"/>
                <w:color w:val="000000" w:themeColor="text1"/>
                <w:kern w:val="0"/>
                <w:sz w:val="24"/>
                <w:szCs w:val="24"/>
                <w:u w:val="none"/>
                <w:lang w:val="en-US" w:eastAsia="zh-CN" w:bidi="ar"/>
                <w14:textFill>
                  <w14:solidFill>
                    <w14:schemeClr w14:val="tx1">
                      <w14:alpha w14:val="0"/>
                    </w14:schemeClr>
                  </w14:solidFill>
                </w14:textFill>
              </w:rPr>
            </w:pPr>
            <w:r>
              <w:rPr>
                <w:rFonts w:hint="eastAsia" w:ascii="黑体" w:hAnsi="黑体" w:eastAsia="黑体" w:cs="黑体"/>
                <w:i w:val="0"/>
                <w:color w:val="000000" w:themeColor="text1"/>
                <w:kern w:val="0"/>
                <w:sz w:val="24"/>
                <w:szCs w:val="24"/>
                <w:u w:val="none"/>
                <w:lang w:val="en-US" w:eastAsia="zh-CN" w:bidi="ar"/>
                <w14:textFill>
                  <w14:solidFill>
                    <w14:schemeClr w14:val="tx1">
                      <w14:alpha w14:val="0"/>
                    </w14:schemeClr>
                  </w14:solidFill>
                </w14:textFill>
              </w:rPr>
              <w:t>学校名称</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C71F1E">
            <w:pPr>
              <w:keepNext w:val="0"/>
              <w:keepLines w:val="0"/>
              <w:widowControl/>
              <w:suppressLineNumbers w:val="0"/>
              <w:jc w:val="center"/>
              <w:textAlignment w:val="center"/>
              <w:rPr>
                <w:rFonts w:hint="eastAsia" w:ascii="黑体" w:hAnsi="黑体" w:eastAsia="黑体" w:cs="黑体"/>
                <w:i w:val="0"/>
                <w:color w:val="000000" w:themeColor="text1"/>
                <w:kern w:val="0"/>
                <w:sz w:val="22"/>
                <w:szCs w:val="22"/>
                <w:u w:val="none"/>
                <w:lang w:val="en-US" w:eastAsia="zh-CN" w:bidi="ar"/>
                <w14:textFill>
                  <w14:solidFill>
                    <w14:schemeClr w14:val="tx1">
                      <w14:alpha w14:val="0"/>
                    </w14:schemeClr>
                  </w14:solidFill>
                </w14:textFill>
              </w:rPr>
            </w:pPr>
            <w:r>
              <w:rPr>
                <w:rFonts w:hint="eastAsia" w:ascii="黑体" w:hAnsi="黑体" w:eastAsia="黑体" w:cs="黑体"/>
                <w:i w:val="0"/>
                <w:color w:val="000000" w:themeColor="text1"/>
                <w:kern w:val="0"/>
                <w:sz w:val="22"/>
                <w:szCs w:val="22"/>
                <w:u w:val="none"/>
                <w:lang w:val="en-US" w:eastAsia="zh-CN" w:bidi="ar"/>
                <w14:textFill>
                  <w14:solidFill>
                    <w14:schemeClr w14:val="tx1">
                      <w14:alpha w14:val="0"/>
                    </w14:schemeClr>
                  </w14:solidFill>
                </w14:textFill>
              </w:rPr>
              <w:t>申报限额</w:t>
            </w:r>
          </w:p>
        </w:tc>
      </w:tr>
      <w:tr w14:paraId="2187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B5CD1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山东科技大学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A982252">
            <w:pPr>
              <w:keepNext w:val="0"/>
              <w:keepLines w:val="0"/>
              <w:widowControl/>
              <w:suppressLineNumbers w:val="0"/>
              <w:jc w:val="center"/>
              <w:textAlignment w:val="bottom"/>
              <w:rPr>
                <w:rFonts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6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0DDA5984">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DCE1ED">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枣庄学院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E3E14C3">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151F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DF9D8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青岛科技大学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B2A86C1">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14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39C446C8">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3931C1">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山东工艺美术学院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87B8D1B">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6 </w:t>
            </w:r>
          </w:p>
        </w:tc>
      </w:tr>
      <w:tr w14:paraId="4B605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3B20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济南大学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1DB59C7">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9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69B1CAE7">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F8D906">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青岛大学</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7E020F9">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17 </w:t>
            </w:r>
          </w:p>
        </w:tc>
      </w:tr>
      <w:tr w14:paraId="1726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41E5F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青岛理工大学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B0D0C78">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4329E2BD">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5675C3A">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烟台大学</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67DFD92">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5 </w:t>
            </w:r>
          </w:p>
        </w:tc>
      </w:tr>
      <w:tr w14:paraId="58273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BE62A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山东建筑大学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656F27C">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8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28B76A57">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7EBCB6C">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潍坊学院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A86B60A">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3 </w:t>
            </w:r>
          </w:p>
        </w:tc>
      </w:tr>
      <w:tr w14:paraId="7DFAD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33265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齐鲁工业大学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384648E">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2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4073423E">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805C9E">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山东警察学院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EF159E3">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1D36A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7A14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山东理工大学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5A76F35">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10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D4EC1F4">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A26690">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山东交通学院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4A824AF">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4 </w:t>
            </w:r>
          </w:p>
        </w:tc>
      </w:tr>
      <w:tr w14:paraId="3A106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7480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山东农业大学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2966C5B">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15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0A3671C1">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1621DDE">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山东工商学院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4C22D4F">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7 </w:t>
            </w:r>
          </w:p>
        </w:tc>
      </w:tr>
      <w:tr w14:paraId="5D576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6D764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青岛农业大学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D4E540B">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2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4CC986D2">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4BB2C5">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山东女子学院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36DF0AF">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4225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B13EA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山东第二医科大学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815207B">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4D8D11C">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4FE93D">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烟台南山学院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EA5F2C4">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5B89F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6ABF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山东第一医科大学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5DBE8BB">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4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F04DEAF">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0578EFB">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潍坊科技学院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F448A7F">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46116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B7F9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滨州医学院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8641433">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4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0A5CED40">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8E27E3">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青岛恒星科技学院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5FC7389">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75F77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C8C0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山东中医药大学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EB5B53F">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D6CA440">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039235">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青岛黄海学院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B643CC0">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6D792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81FE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济宁医学院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B26CF72">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2A2CB15C">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1CD714">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山东现代学院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5DA1B14">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5DAC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9CC73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山东师范大学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1BD7B83">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10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9DFC8A0">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97124D">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山东协和学院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7B6B2A5">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196AD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80155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曲阜师范大学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9364F55">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4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0410A06E">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CC9158">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烟台理工学院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745B31B">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3 </w:t>
            </w:r>
          </w:p>
        </w:tc>
      </w:tr>
      <w:tr w14:paraId="24C65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82D0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聊城大学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3D301C2">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3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0D61A9D">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2171B">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聊城大学东昌学院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0E00701">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106D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7120B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德州学院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EB5EBD2">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84D07F8">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11A38C">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青岛城市学院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B7AE23E">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2 </w:t>
            </w:r>
          </w:p>
        </w:tc>
      </w:tr>
      <w:tr w14:paraId="4DD8A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5BEB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山东航空学院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784B486">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6C6650E">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D9BF1E3">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山东财经大学燕山学院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5E93986">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06866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A2B71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鲁东大学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164FABF">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5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16EF4C8">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8EC361">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山东华宇工学院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5376C785">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519DD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4B2E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临沂大学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D5CB4FD">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7398596">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B952782">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青岛农业大学海都学院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C40E3FE">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4371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E871E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泰山学院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75B1115">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A29A5FC">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AE7AF3">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齐鲁理工学院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22B78F7">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32F2B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181D9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济宁学院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40DBB5E">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79269A58">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B542E2">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山东财经大学东方学院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27B550C">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54DE0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1B37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菏泽学院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F640F3A">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5DE27160">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7254F1">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烟台科技学院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3DF323B0">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59D46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A5F79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山东财经大学</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6A681C2">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8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1DF84043">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00D44E">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齐鲁师范学院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B5FAB77">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32260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FE98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山东体育学院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CBD1A0F">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3651D1B8">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6C345D">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山东青年政治学院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75307C5A">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73E49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DE98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山东艺术学院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44D9908C">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3CE7CBDB">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E3C37">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青岛电影学院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60D0929A">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3C8A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55FCF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齐鲁医药学院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0E3BFF4F">
            <w:pPr>
              <w:keepNext w:val="0"/>
              <w:keepLines w:val="0"/>
              <w:widowControl/>
              <w:suppressLineNumbers w:val="0"/>
              <w:jc w:val="center"/>
              <w:textAlignment w:val="bottom"/>
              <w:rPr>
                <w:rFonts w:hint="eastAsia" w:ascii="等线" w:hAnsi="等线" w:eastAsia="等线" w:cs="等线"/>
                <w:i w:val="0"/>
                <w:color w:val="000000"/>
                <w:sz w:val="22"/>
                <w:szCs w:val="22"/>
                <w:u w:val="none"/>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right w:val="single" w:color="000000" w:sz="4" w:space="0"/>
            </w:tcBorders>
            <w:shd w:val="clear" w:color="auto" w:fill="auto"/>
            <w:noWrap/>
            <w:tcMar>
              <w:top w:w="15" w:type="dxa"/>
              <w:left w:w="15" w:type="dxa"/>
              <w:right w:w="15" w:type="dxa"/>
            </w:tcMar>
            <w:vAlign w:val="center"/>
          </w:tcPr>
          <w:p w14:paraId="0738AD7F">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DC6318">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山东管理学院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195FE9C">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2 </w:t>
            </w:r>
          </w:p>
        </w:tc>
      </w:tr>
      <w:tr w14:paraId="294E6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558F8B">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青岛滨海学院</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147A736D">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c>
          <w:tcPr>
            <w:tcW w:w="1351" w:type="dxa"/>
            <w:vMerge w:val="continue"/>
            <w:tcBorders>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89040D">
            <w:pPr>
              <w:keepNext w:val="0"/>
              <w:keepLines w:val="0"/>
              <w:widowControl/>
              <w:suppressLineNumbers w:val="0"/>
              <w:jc w:val="center"/>
              <w:textAlignment w:val="cente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p>
        </w:tc>
        <w:tc>
          <w:tcPr>
            <w:tcW w:w="281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1A0140">
            <w:pPr>
              <w:keepNext w:val="0"/>
              <w:keepLines w:val="0"/>
              <w:widowControl/>
              <w:suppressLineNumbers w:val="0"/>
              <w:jc w:val="center"/>
              <w:textAlignment w:val="center"/>
              <w:rPr>
                <w:rFonts w:hint="eastAsia"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0"/>
                <w:sz w:val="24"/>
                <w:szCs w:val="24"/>
                <w:u w:val="none"/>
                <w:lang w:val="en-US" w:eastAsia="zh-CN" w:bidi="ar"/>
              </w:rPr>
              <w:t>山东农业工程学院</w:t>
            </w:r>
          </w:p>
        </w:tc>
        <w:tc>
          <w:tcPr>
            <w:tcW w:w="105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14:paraId="2AAB9697">
            <w:pPr>
              <w:keepNext w:val="0"/>
              <w:keepLines w:val="0"/>
              <w:widowControl/>
              <w:suppressLineNumbers w:val="0"/>
              <w:jc w:val="center"/>
              <w:textAlignment w:val="bottom"/>
              <w:rPr>
                <w:rFonts w:hint="eastAsia" w:ascii="等线" w:hAnsi="等线" w:eastAsia="等线" w:cs="等线"/>
                <w:i w:val="0"/>
                <w:color w:val="000000"/>
                <w:kern w:val="2"/>
                <w:sz w:val="22"/>
                <w:szCs w:val="22"/>
                <w:u w:val="none"/>
                <w:lang w:val="en-US" w:eastAsia="zh-CN" w:bidi="ar-SA"/>
              </w:rPr>
            </w:pPr>
            <w:r>
              <w:rPr>
                <w:rFonts w:hint="eastAsia" w:ascii="等线" w:hAnsi="等线" w:eastAsia="等线" w:cs="等线"/>
                <w:i w:val="0"/>
                <w:color w:val="000000"/>
                <w:kern w:val="0"/>
                <w:sz w:val="22"/>
                <w:szCs w:val="22"/>
                <w:u w:val="none"/>
                <w:lang w:val="en-US" w:eastAsia="zh-CN" w:bidi="ar"/>
              </w:rPr>
              <w:t xml:space="preserve">1 </w:t>
            </w:r>
          </w:p>
        </w:tc>
      </w:tr>
      <w:tr w14:paraId="5695C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20" w:hRule="atLeast"/>
        </w:trPr>
        <w:tc>
          <w:tcPr>
            <w:tcW w:w="250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753810E">
            <w:pPr>
              <w:keepNext w:val="0"/>
              <w:keepLines w:val="0"/>
              <w:widowControl/>
              <w:suppressLineNumbers w:val="0"/>
              <w:jc w:val="center"/>
              <w:textAlignment w:val="center"/>
              <w:rPr>
                <w:rFonts w:hint="default" w:ascii="宋体" w:hAnsi="宋体" w:eastAsia="宋体" w:cs="宋体"/>
                <w:i w:val="0"/>
                <w:color w:val="000000"/>
                <w:kern w:val="2"/>
                <w:sz w:val="24"/>
                <w:szCs w:val="24"/>
                <w:u w:val="none"/>
                <w:lang w:val="en-US" w:eastAsia="zh-CN" w:bidi="ar-SA"/>
              </w:rPr>
            </w:pPr>
            <w:r>
              <w:rPr>
                <w:rFonts w:hint="eastAsia" w:ascii="宋体" w:hAnsi="宋体" w:eastAsia="宋体" w:cs="宋体"/>
                <w:i w:val="0"/>
                <w:color w:val="000000"/>
                <w:kern w:val="2"/>
                <w:sz w:val="24"/>
                <w:szCs w:val="24"/>
                <w:u w:val="none"/>
                <w:lang w:val="en-US" w:eastAsia="zh-CN" w:bidi="ar-SA"/>
              </w:rPr>
              <w:t>总计</w:t>
            </w:r>
          </w:p>
        </w:tc>
        <w:tc>
          <w:tcPr>
            <w:tcW w:w="6392"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16DEE9">
            <w:pPr>
              <w:keepNext w:val="0"/>
              <w:keepLines w:val="0"/>
              <w:widowControl/>
              <w:suppressLineNumbers w:val="0"/>
              <w:jc w:val="center"/>
              <w:textAlignment w:val="center"/>
              <w:rPr>
                <w:rFonts w:hint="default"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pPr>
            <w:r>
              <w:rPr>
                <w:rFonts w:hint="eastAsia" w:ascii="等线" w:hAnsi="等线" w:eastAsia="等线" w:cs="等线"/>
                <w:i w:val="0"/>
                <w:color w:val="000000" w:themeColor="text1"/>
                <w:kern w:val="0"/>
                <w:sz w:val="22"/>
                <w:szCs w:val="22"/>
                <w:u w:val="none"/>
                <w:lang w:val="en-US" w:eastAsia="zh-CN" w:bidi="ar"/>
                <w14:textFill>
                  <w14:solidFill>
                    <w14:schemeClr w14:val="tx1">
                      <w14:alpha w14:val="0"/>
                    </w14:schemeClr>
                  </w14:solidFill>
                </w14:textFill>
              </w:rPr>
              <w:t>207</w:t>
            </w:r>
          </w:p>
        </w:tc>
      </w:tr>
    </w:tbl>
    <w:p w14:paraId="63C07168">
      <w:pPr>
        <w:pStyle w:val="4"/>
        <w:rPr>
          <w:rFonts w:hint="eastAsia"/>
          <w:color w:val="auto"/>
          <w:lang w:val="en-US" w:eastAsia="zh-CN"/>
        </w:rPr>
        <w:sectPr>
          <w:pgSz w:w="11906" w:h="16838"/>
          <w:pgMar w:top="2041" w:right="1531" w:bottom="1985" w:left="1531" w:header="851" w:footer="1644" w:gutter="0"/>
          <w:cols w:space="720" w:num="1"/>
          <w:titlePg/>
          <w:docGrid w:type="lines" w:linePitch="312" w:charSpace="0"/>
        </w:sectPr>
      </w:pPr>
      <w:bookmarkStart w:id="0" w:name="_GoBack"/>
      <w:bookmarkEnd w:id="0"/>
    </w:p>
    <w:p w14:paraId="2245169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6EED0">
    <w:pPr>
      <w:pStyle w:val="6"/>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24A200">
                          <w:pPr>
                            <w:pStyle w:val="6"/>
                            <w:ind w:left="315" w:leftChars="150" w:right="315" w:rightChars="150"/>
                            <w:rPr>
                              <w:rStyle w:val="10"/>
                              <w:sz w:val="28"/>
                              <w:szCs w:val="28"/>
                            </w:rPr>
                          </w:pPr>
                          <w:r>
                            <w:rPr>
                              <w:rStyle w:val="10"/>
                              <w:sz w:val="28"/>
                              <w:szCs w:val="28"/>
                            </w:rPr>
                            <w:t xml:space="preserve">— </w:t>
                          </w:r>
                          <w:r>
                            <w:rPr>
                              <w:rStyle w:val="10"/>
                              <w:sz w:val="28"/>
                              <w:szCs w:val="28"/>
                            </w:rPr>
                            <w:fldChar w:fldCharType="begin"/>
                          </w:r>
                          <w:r>
                            <w:rPr>
                              <w:rStyle w:val="10"/>
                              <w:sz w:val="28"/>
                              <w:szCs w:val="28"/>
                            </w:rPr>
                            <w:instrText xml:space="preserve">PAGE  </w:instrText>
                          </w:r>
                          <w:r>
                            <w:rPr>
                              <w:rStyle w:val="10"/>
                              <w:sz w:val="28"/>
                              <w:szCs w:val="28"/>
                            </w:rPr>
                            <w:fldChar w:fldCharType="separate"/>
                          </w:r>
                          <w:r>
                            <w:rPr>
                              <w:rStyle w:val="10"/>
                              <w:sz w:val="28"/>
                              <w:szCs w:val="28"/>
                            </w:rPr>
                            <w:t>18</w:t>
                          </w:r>
                          <w:r>
                            <w:rPr>
                              <w:rStyle w:val="10"/>
                              <w:sz w:val="28"/>
                              <w:szCs w:val="28"/>
                            </w:rPr>
                            <w:fldChar w:fldCharType="end"/>
                          </w:r>
                          <w:r>
                            <w:rPr>
                              <w:rStyle w:val="10"/>
                              <w:sz w:val="28"/>
                              <w:szCs w:val="28"/>
                            </w:rPr>
                            <w:t xml:space="preserve"> —</w:t>
                          </w:r>
                        </w:p>
                        <w:p w14:paraId="7274541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24A200">
                    <w:pPr>
                      <w:pStyle w:val="6"/>
                      <w:ind w:left="315" w:leftChars="150" w:right="315" w:rightChars="150"/>
                      <w:rPr>
                        <w:rStyle w:val="10"/>
                        <w:sz w:val="28"/>
                        <w:szCs w:val="28"/>
                      </w:rPr>
                    </w:pPr>
                    <w:r>
                      <w:rPr>
                        <w:rStyle w:val="10"/>
                        <w:sz w:val="28"/>
                        <w:szCs w:val="28"/>
                      </w:rPr>
                      <w:t xml:space="preserve">— </w:t>
                    </w:r>
                    <w:r>
                      <w:rPr>
                        <w:rStyle w:val="10"/>
                        <w:sz w:val="28"/>
                        <w:szCs w:val="28"/>
                      </w:rPr>
                      <w:fldChar w:fldCharType="begin"/>
                    </w:r>
                    <w:r>
                      <w:rPr>
                        <w:rStyle w:val="10"/>
                        <w:sz w:val="28"/>
                        <w:szCs w:val="28"/>
                      </w:rPr>
                      <w:instrText xml:space="preserve">PAGE  </w:instrText>
                    </w:r>
                    <w:r>
                      <w:rPr>
                        <w:rStyle w:val="10"/>
                        <w:sz w:val="28"/>
                        <w:szCs w:val="28"/>
                      </w:rPr>
                      <w:fldChar w:fldCharType="separate"/>
                    </w:r>
                    <w:r>
                      <w:rPr>
                        <w:rStyle w:val="10"/>
                        <w:sz w:val="28"/>
                        <w:szCs w:val="28"/>
                      </w:rPr>
                      <w:t>18</w:t>
                    </w:r>
                    <w:r>
                      <w:rPr>
                        <w:rStyle w:val="10"/>
                        <w:sz w:val="28"/>
                        <w:szCs w:val="28"/>
                      </w:rPr>
                      <w:fldChar w:fldCharType="end"/>
                    </w:r>
                    <w:r>
                      <w:rPr>
                        <w:rStyle w:val="10"/>
                        <w:sz w:val="28"/>
                        <w:szCs w:val="28"/>
                      </w:rPr>
                      <w:t xml:space="preserve"> —</w:t>
                    </w:r>
                  </w:p>
                  <w:p w14:paraId="72745415"/>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7604A">
    <w:pPr>
      <w:pStyle w:val="6"/>
      <w:framePr w:wrap="around" w:vAnchor="text" w:hAnchor="margin" w:xAlign="outside" w:y="1"/>
      <w:rPr>
        <w:rStyle w:val="10"/>
      </w:rPr>
    </w:pPr>
    <w:r>
      <w:rPr>
        <w:rStyle w:val="10"/>
      </w:rPr>
      <w:fldChar w:fldCharType="begin"/>
    </w:r>
    <w:r>
      <w:rPr>
        <w:rStyle w:val="10"/>
      </w:rPr>
      <w:instrText xml:space="preserve">PAGE  </w:instrText>
    </w:r>
    <w:r>
      <w:rPr>
        <w:rStyle w:val="10"/>
      </w:rPr>
      <w:fldChar w:fldCharType="end"/>
    </w:r>
  </w:p>
  <w:p w14:paraId="603155DD">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AE595">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482C97">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482C97">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0OGQ3N2Y4M2RkYzMzMDQ0NTRjZGM3NzM3NWVlNzEifQ=="/>
  </w:docVars>
  <w:rsids>
    <w:rsidRoot w:val="3BE25486"/>
    <w:rsid w:val="3BE25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1"/>
    <w:pPr>
      <w:ind w:left="220"/>
      <w:outlineLvl w:val="2"/>
    </w:pPr>
    <w:rPr>
      <w:rFonts w:ascii="黑体" w:hAnsi="黑体" w:eastAsia="黑体" w:cs="黑体"/>
      <w:sz w:val="32"/>
      <w:szCs w:val="32"/>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next w:val="4"/>
    <w:qFormat/>
    <w:uiPriority w:val="0"/>
    <w:pPr>
      <w:spacing w:before="0" w:after="140" w:line="276" w:lineRule="auto"/>
    </w:pPr>
  </w:style>
  <w:style w:type="paragraph" w:styleId="4">
    <w:name w:val="Body Text First Indent 2"/>
    <w:basedOn w:val="5"/>
    <w:next w:val="1"/>
    <w:qFormat/>
    <w:uiPriority w:val="0"/>
    <w:pPr>
      <w:ind w:firstLine="420" w:firstLineChars="200"/>
      <w:jc w:val="left"/>
    </w:pPr>
  </w:style>
  <w:style w:type="paragraph" w:styleId="5">
    <w:name w:val="Body Text Indent"/>
    <w:basedOn w:val="1"/>
    <w:qFormat/>
    <w:uiPriority w:val="0"/>
    <w:pPr>
      <w:spacing w:after="120"/>
      <w:ind w:left="420" w:leftChars="200"/>
    </w:pPr>
  </w:style>
  <w:style w:type="paragraph" w:styleId="6">
    <w:name w:val="footer"/>
    <w:basedOn w:val="1"/>
    <w:qFormat/>
    <w:uiPriority w:val="0"/>
    <w:pPr>
      <w:tabs>
        <w:tab w:val="center" w:pos="4153"/>
        <w:tab w:val="right" w:pos="8306"/>
      </w:tabs>
      <w:snapToGrid w:val="0"/>
      <w:jc w:val="left"/>
    </w:pPr>
    <w:rPr>
      <w:sz w:val="18"/>
      <w:szCs w:val="18"/>
    </w:rPr>
  </w:style>
  <w:style w:type="table" w:styleId="8">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paragraph" w:styleId="11">
    <w:name w:val="List Paragraph"/>
    <w:qFormat/>
    <w:uiPriority w:val="34"/>
    <w:pPr>
      <w:widowControl w:val="0"/>
      <w:ind w:firstLine="420" w:firstLineChars="20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2024-08-10T18:05:00Z</dcterms:created>
  <dc:creator>WPS_1699624005</dc:creator>
  <cp:lastModifiedBy>WPS_1699624005</cp:lastModifiedBy>
  <dcterms:modified xsi:type="dcterms:W3CDTF">2024-08-10T18:19:28Z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F483385119C64D4796168771A58F5953_11</vt:lpwstr>
  </property>
</Properties>
</file>