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6B347C">
      <w:pPr>
        <w:spacing w:before="87" w:line="219" w:lineRule="auto"/>
        <w:ind w:left="128"/>
        <w:outlineLvl w:val="1"/>
        <w:rPr>
          <w:rFonts w:hint="default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  <w:t>附件6</w:t>
      </w:r>
      <w:bookmarkStart w:id="0" w:name="_GoBack"/>
      <w:bookmarkEnd w:id="0"/>
    </w:p>
    <w:p w14:paraId="4875CB28">
      <w:pPr>
        <w:spacing w:before="87" w:line="219" w:lineRule="auto"/>
        <w:ind w:left="128"/>
        <w:jc w:val="center"/>
        <w:outlineLvl w:val="1"/>
        <w:rPr>
          <w:rFonts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  <w:t>课程思政</w:t>
      </w:r>
      <w:r>
        <w:rPr>
          <w:rFonts w:ascii="黑体" w:hAnsi="黑体" w:eastAsia="黑体" w:cs="黑体"/>
          <w:b w:val="0"/>
          <w:bCs w:val="0"/>
          <w:spacing w:val="5"/>
          <w:sz w:val="28"/>
          <w:szCs w:val="28"/>
        </w:rPr>
        <w:t>教学设计创新汇报</w:t>
      </w:r>
      <w:r>
        <w:rPr>
          <w:rFonts w:hint="eastAsia" w:ascii="黑体" w:hAnsi="黑体" w:eastAsia="黑体" w:cs="黑体"/>
          <w:b w:val="0"/>
          <w:bCs w:val="0"/>
          <w:spacing w:val="5"/>
          <w:sz w:val="28"/>
          <w:szCs w:val="28"/>
          <w:lang w:val="en-US" w:eastAsia="zh-CN"/>
        </w:rPr>
        <w:t>评分标准</w:t>
      </w:r>
      <w:r>
        <w:rPr>
          <w:rFonts w:ascii="黑体" w:hAnsi="黑体" w:eastAsia="黑体" w:cs="黑体"/>
          <w:b w:val="0"/>
          <w:bCs w:val="0"/>
          <w:spacing w:val="5"/>
          <w:sz w:val="28"/>
          <w:szCs w:val="28"/>
        </w:rPr>
        <w:t>(40分)</w:t>
      </w:r>
    </w:p>
    <w:tbl>
      <w:tblPr>
        <w:tblStyle w:val="2"/>
        <w:tblW w:w="85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7320"/>
      </w:tblGrid>
      <w:tr w14:paraId="18C3F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</w:trPr>
        <w:tc>
          <w:tcPr>
            <w:tcW w:w="1270" w:type="dxa"/>
            <w:noWrap w:val="0"/>
            <w:vAlign w:val="center"/>
          </w:tcPr>
          <w:p w14:paraId="576539BD">
            <w:pPr>
              <w:spacing w:before="138" w:line="218" w:lineRule="auto"/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-4"/>
                <w:sz w:val="24"/>
                <w:szCs w:val="24"/>
              </w:rPr>
              <w:t>评价维度</w:t>
            </w:r>
          </w:p>
        </w:tc>
        <w:tc>
          <w:tcPr>
            <w:tcW w:w="7320" w:type="dxa"/>
            <w:noWrap w:val="0"/>
            <w:vAlign w:val="center"/>
          </w:tcPr>
          <w:p w14:paraId="40DE2AE9">
            <w:pPr>
              <w:spacing w:before="138" w:line="218" w:lineRule="auto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pacing w:val="10"/>
                <w:sz w:val="24"/>
                <w:szCs w:val="24"/>
              </w:rPr>
              <w:t>评价要点</w:t>
            </w:r>
          </w:p>
        </w:tc>
      </w:tr>
      <w:tr w14:paraId="54C71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</w:trPr>
        <w:tc>
          <w:tcPr>
            <w:tcW w:w="1270" w:type="dxa"/>
            <w:noWrap w:val="0"/>
            <w:vAlign w:val="center"/>
          </w:tcPr>
          <w:p w14:paraId="50B412DA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教学理念</w:t>
            </w:r>
          </w:p>
        </w:tc>
        <w:tc>
          <w:tcPr>
            <w:tcW w:w="7320" w:type="dxa"/>
            <w:noWrap w:val="0"/>
            <w:vAlign w:val="center"/>
          </w:tcPr>
          <w:p w14:paraId="38760E6E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坚持立德树人，体现“以学生发展为中心”,将价值塑造、知识传授和能力培养融为一体，充分发挥课程育人作用。</w:t>
            </w:r>
          </w:p>
        </w:tc>
      </w:tr>
      <w:tr w14:paraId="7D671B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1270" w:type="dxa"/>
            <w:noWrap w:val="0"/>
            <w:vAlign w:val="center"/>
          </w:tcPr>
          <w:p w14:paraId="5C1BB074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总体设计</w:t>
            </w:r>
          </w:p>
        </w:tc>
        <w:tc>
          <w:tcPr>
            <w:tcW w:w="7320" w:type="dxa"/>
            <w:noWrap w:val="0"/>
            <w:vAlign w:val="center"/>
          </w:tcPr>
          <w:p w14:paraId="3D978972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。</w:t>
            </w:r>
          </w:p>
        </w:tc>
      </w:tr>
      <w:tr w14:paraId="0D46E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 w:hRule="atLeast"/>
        </w:trPr>
        <w:tc>
          <w:tcPr>
            <w:tcW w:w="1270" w:type="dxa"/>
            <w:noWrap w:val="0"/>
            <w:vAlign w:val="center"/>
          </w:tcPr>
          <w:p w14:paraId="640C688B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教学目标</w:t>
            </w:r>
          </w:p>
        </w:tc>
        <w:tc>
          <w:tcPr>
            <w:tcW w:w="7320" w:type="dxa"/>
            <w:noWrap w:val="0"/>
            <w:vAlign w:val="center"/>
          </w:tcPr>
          <w:p w14:paraId="6C86DC8B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教学目标符合学校办学定位、学生情况和专业人才培养需求，准确体现对 学生价值塑造、知识传授和能力培养等方面的要求。教学目标清楚具体易于理解，便于实施，行为动词使用正确，阐述规范。</w:t>
            </w:r>
          </w:p>
        </w:tc>
      </w:tr>
      <w:tr w14:paraId="73A64E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5" w:hRule="atLeast"/>
        </w:trPr>
        <w:tc>
          <w:tcPr>
            <w:tcW w:w="1270" w:type="dxa"/>
            <w:noWrap w:val="0"/>
            <w:vAlign w:val="center"/>
          </w:tcPr>
          <w:p w14:paraId="06917E63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学情分析</w:t>
            </w:r>
          </w:p>
        </w:tc>
        <w:tc>
          <w:tcPr>
            <w:tcW w:w="7320" w:type="dxa"/>
            <w:noWrap w:val="0"/>
            <w:vAlign w:val="center"/>
          </w:tcPr>
          <w:p w14:paraId="02E2000F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学生认知特点和起点水平表述恰当，学习习惯和能力分析合理，思想发展现状、特点和规律总结准确。</w:t>
            </w:r>
          </w:p>
        </w:tc>
      </w:tr>
      <w:tr w14:paraId="0D877E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1270" w:type="dxa"/>
            <w:noWrap w:val="0"/>
            <w:vAlign w:val="center"/>
          </w:tcPr>
          <w:p w14:paraId="5562C1F8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7320" w:type="dxa"/>
            <w:noWrap w:val="0"/>
            <w:vAlign w:val="center"/>
          </w:tcPr>
          <w:p w14:paraId="4E71D8E1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符合学生思想发展和认知特点，体现课程育人理念和目标，课程知识体系清晰科学，课程自身蕴含的思政教育资源挖掘深入准确，思政资源和知识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eastAsia="en-US" w:bidi="en-US"/>
              </w:rPr>
              <w:t>内容融合紧密恰当。</w:t>
            </w:r>
          </w:p>
        </w:tc>
      </w:tr>
      <w:tr w14:paraId="72C5C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70" w:type="dxa"/>
            <w:vMerge w:val="restart"/>
            <w:noWrap w:val="0"/>
            <w:vAlign w:val="center"/>
          </w:tcPr>
          <w:p w14:paraId="6AAB5D61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过程与方法</w:t>
            </w:r>
          </w:p>
        </w:tc>
        <w:tc>
          <w:tcPr>
            <w:tcW w:w="7320" w:type="dxa"/>
            <w:noWrap w:val="0"/>
            <w:vAlign w:val="center"/>
          </w:tcPr>
          <w:p w14:paraId="5263AE8A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教学活动丰富，过渡自然，充分发挥教师主导、学生主体作用，能够帮助学生有效提升素质、知识和能力。</w:t>
            </w:r>
          </w:p>
        </w:tc>
      </w:tr>
      <w:tr w14:paraId="017B5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70" w:type="dxa"/>
            <w:vMerge w:val="continue"/>
            <w:noWrap w:val="0"/>
            <w:vAlign w:val="center"/>
          </w:tcPr>
          <w:p w14:paraId="395C16D8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</w:rPr>
            </w:pPr>
          </w:p>
        </w:tc>
        <w:tc>
          <w:tcPr>
            <w:tcW w:w="7320" w:type="dxa"/>
            <w:noWrap w:val="0"/>
            <w:vAlign w:val="center"/>
          </w:tcPr>
          <w:p w14:paraId="0E9AD51D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 w14:paraId="3CBB7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70" w:type="dxa"/>
            <w:vMerge w:val="continue"/>
            <w:noWrap w:val="0"/>
            <w:vAlign w:val="center"/>
          </w:tcPr>
          <w:p w14:paraId="0E0A33A5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7320" w:type="dxa"/>
            <w:noWrap w:val="0"/>
            <w:vAlign w:val="center"/>
          </w:tcPr>
          <w:p w14:paraId="79E26C33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 w14:paraId="7976B3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70" w:type="dxa"/>
            <w:noWrap w:val="0"/>
            <w:vAlign w:val="center"/>
          </w:tcPr>
          <w:p w14:paraId="10242151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考评与反馈</w:t>
            </w:r>
          </w:p>
        </w:tc>
        <w:tc>
          <w:tcPr>
            <w:tcW w:w="7320" w:type="dxa"/>
            <w:noWrap w:val="0"/>
            <w:vAlign w:val="center"/>
          </w:tcPr>
          <w:p w14:paraId="724DB094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</w:tr>
      <w:tr w14:paraId="443C0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1" w:hRule="atLeast"/>
        </w:trPr>
        <w:tc>
          <w:tcPr>
            <w:tcW w:w="1270" w:type="dxa"/>
            <w:noWrap w:val="0"/>
            <w:vAlign w:val="center"/>
          </w:tcPr>
          <w:p w14:paraId="6510D767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设计创新</w:t>
            </w:r>
          </w:p>
        </w:tc>
        <w:tc>
          <w:tcPr>
            <w:tcW w:w="7320" w:type="dxa"/>
            <w:noWrap w:val="0"/>
            <w:vAlign w:val="center"/>
          </w:tcPr>
          <w:p w14:paraId="704B09BE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</w:tr>
      <w:tr w14:paraId="72E09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1270" w:type="dxa"/>
            <w:noWrap w:val="0"/>
            <w:vAlign w:val="center"/>
          </w:tcPr>
          <w:p w14:paraId="7BBFDDDF">
            <w:pPr>
              <w:spacing w:line="360" w:lineRule="exact"/>
              <w:jc w:val="both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文档规范</w:t>
            </w:r>
          </w:p>
        </w:tc>
        <w:tc>
          <w:tcPr>
            <w:tcW w:w="7320" w:type="dxa"/>
            <w:noWrap w:val="0"/>
            <w:vAlign w:val="center"/>
          </w:tcPr>
          <w:p w14:paraId="2A6C14A4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文字、符号、单位和公式符合标准规范语言简洁、明了，字体、图表运用适当；文档结构完整，布局合理，格式美观。</w:t>
            </w:r>
          </w:p>
        </w:tc>
      </w:tr>
      <w:tr w14:paraId="22678A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270" w:type="dxa"/>
            <w:noWrap w:val="0"/>
            <w:vAlign w:val="center"/>
          </w:tcPr>
          <w:p w14:paraId="33D0C3CF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4"/>
                <w:szCs w:val="24"/>
                <w:lang w:eastAsia="en-US" w:bidi="en-US"/>
              </w:rPr>
              <w:t>现场交流</w:t>
            </w:r>
          </w:p>
        </w:tc>
        <w:tc>
          <w:tcPr>
            <w:tcW w:w="7320" w:type="dxa"/>
            <w:noWrap w:val="0"/>
            <w:vAlign w:val="center"/>
          </w:tcPr>
          <w:p w14:paraId="38376301">
            <w:pPr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观点正确，切中要点，条理清晰，重点突出，表达流畅。</w:t>
            </w:r>
          </w:p>
        </w:tc>
      </w:tr>
    </w:tbl>
    <w:p w14:paraId="455E8275">
      <w:pPr>
        <w:spacing w:line="360" w:lineRule="exact"/>
        <w:jc w:val="left"/>
        <w:rPr>
          <w:rFonts w:hint="eastAsia" w:ascii="方正仿宋_GB2312" w:hAnsi="方正仿宋_GB2312" w:eastAsia="方正仿宋_GB2312" w:cs="方正仿宋_GB2312"/>
          <w:sz w:val="24"/>
          <w:szCs w:val="24"/>
          <w:lang w:bidi="en-US"/>
        </w:rPr>
        <w:sectPr>
          <w:footerReference r:id="rId3" w:type="default"/>
          <w:pgSz w:w="11910" w:h="16840"/>
          <w:pgMar w:top="1431" w:right="1604" w:bottom="400" w:left="1695" w:header="0" w:footer="0" w:gutter="0"/>
          <w:cols w:space="720" w:num="1"/>
        </w:sectPr>
      </w:pPr>
    </w:p>
    <w:p w14:paraId="5046477A">
      <w:pPr>
        <w:spacing w:line="480" w:lineRule="exact"/>
        <w:jc w:val="center"/>
        <w:rPr>
          <w:rFonts w:ascii="黑体" w:hAnsi="黑体" w:eastAsia="黑体" w:cs="黑体"/>
          <w:bCs/>
          <w:kern w:val="0"/>
          <w:sz w:val="28"/>
          <w:szCs w:val="28"/>
          <w:lang w:bidi="en-US"/>
        </w:rPr>
      </w:pPr>
      <w:r>
        <w:rPr>
          <w:rFonts w:hint="eastAsia" w:ascii="黑体" w:hAnsi="黑体" w:eastAsia="黑体" w:cs="黑体"/>
          <w:bCs/>
          <w:sz w:val="28"/>
          <w:szCs w:val="28"/>
          <w:lang w:bidi="en-US"/>
        </w:rPr>
        <w:t>教学设计创新汇报（40分）</w:t>
      </w:r>
    </w:p>
    <w:tbl>
      <w:tblPr>
        <w:tblStyle w:val="2"/>
        <w:tblW w:w="8704" w:type="dxa"/>
        <w:tblInd w:w="-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4"/>
        <w:gridCol w:w="7350"/>
      </w:tblGrid>
      <w:tr w14:paraId="294F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446FB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评价维度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63E23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Cs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评价要点</w:t>
            </w:r>
          </w:p>
        </w:tc>
      </w:tr>
      <w:tr w14:paraId="213D37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4" w:hRule="exac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C1CF38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理念与目标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083FD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课程设计体现“以学生发展为中心”的理念，教学目标符合学科特点和学生实际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none"/>
                <w:lang w:bidi="en-US"/>
              </w:rPr>
              <w:t>；在各自学科领域推进“四新”建设，带动教学模式创新；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体现对知识、能力与思维等方面的要求。</w:t>
            </w:r>
          </w:p>
          <w:p w14:paraId="098648FA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教学目标清楚、具体，易于理解，便于实施，行为动词使用正确，阐述规范。</w:t>
            </w:r>
          </w:p>
        </w:tc>
      </w:tr>
      <w:tr w14:paraId="64EFA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F36D9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内容分析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FFA64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教学内容前后知识点关系、地位、作用描述准确，重点、难点分析清楚。</w:t>
            </w:r>
          </w:p>
        </w:tc>
      </w:tr>
      <w:tr w14:paraId="06E52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1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2645D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642A8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能够将教学内容与学科研究新进展、实践发展新经验、社会需求新变化相联系。</w:t>
            </w:r>
          </w:p>
        </w:tc>
      </w:tr>
      <w:tr w14:paraId="57F17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FBB47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学情分析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52048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学生认知特点和起点水平表述恰当，学习习惯和能力分析合理。</w:t>
            </w:r>
          </w:p>
        </w:tc>
      </w:tr>
      <w:tr w14:paraId="01B91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E3640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课程思政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24EBBB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将思想政治教育与专业教育有机融合，引用典型教学案例举例说明，具有示范作用和推广价值。</w:t>
            </w:r>
          </w:p>
        </w:tc>
      </w:tr>
      <w:tr w14:paraId="02694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</w:trPr>
        <w:tc>
          <w:tcPr>
            <w:tcW w:w="1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8744C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过程与方法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C9A58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教学活动丰富多样，能体现各等级水平的知识、技能和情感价值目标。</w:t>
            </w:r>
          </w:p>
        </w:tc>
      </w:tr>
      <w:tr w14:paraId="3A51D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7C2B6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12AF5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能创造性地使用教材，内容充实精要，适合学生水平；结构合理，过渡自然，便于操作；理论联系实际，启发学生思考及问题解决。</w:t>
            </w:r>
          </w:p>
        </w:tc>
      </w:tr>
      <w:tr w14:paraId="1BF03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</w:trPr>
        <w:tc>
          <w:tcPr>
            <w:tcW w:w="1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AE533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bidi="en-US"/>
              </w:rPr>
            </w:pP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4DB87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能根据课程特点，用创新的教学策略、方法、技术解决课堂中存在的各种问题和困难；教学重点突出，难点把握准确。</w:t>
            </w:r>
          </w:p>
        </w:tc>
      </w:tr>
      <w:tr w14:paraId="0BC34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1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9A36E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bidi="en-US"/>
              </w:rPr>
            </w:pP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097A37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合理选择与应用信息技术，创设教学环境，关注师生、生生互动，强调自主、合作、探究的学习。</w:t>
            </w:r>
          </w:p>
        </w:tc>
      </w:tr>
      <w:tr w14:paraId="65DA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9459D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考评与反馈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BCDB4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采用多元评价方法，合理评价学生知识、能力与思维的发展。</w:t>
            </w:r>
          </w:p>
        </w:tc>
      </w:tr>
      <w:tr w14:paraId="47644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3E601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186A01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过程性评价与终结性评价相结合，有适合学科、学生特点的评价规则与标准。</w:t>
            </w:r>
          </w:p>
        </w:tc>
      </w:tr>
      <w:tr w14:paraId="7235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exac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15F51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文档规范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C8711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 w14:paraId="0C22E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exact"/>
        </w:trPr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7EF30">
            <w:pPr>
              <w:spacing w:line="360" w:lineRule="exact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sz w:val="24"/>
                <w:szCs w:val="24"/>
                <w:lang w:eastAsia="en-US" w:bidi="en-US"/>
              </w:rPr>
              <w:t>设计创新</w:t>
            </w:r>
          </w:p>
        </w:tc>
        <w:tc>
          <w:tcPr>
            <w:tcW w:w="7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2919F">
            <w:pPr>
              <w:spacing w:line="360" w:lineRule="exact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bidi="en-US"/>
              </w:rPr>
              <w:t>教学方案的整体设计富有创新性，能体现高校教学理念和要求；教学方法选择适当，教学过程设计有突出的特色。</w:t>
            </w:r>
          </w:p>
        </w:tc>
      </w:tr>
    </w:tbl>
    <w:p w14:paraId="543FC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DA8ADA-D80A-4EB6-BDFA-5D42A85AFB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908AACC-859B-445D-8CB5-984C91E4F4B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ED7BD2C-8DC8-4DFD-8346-9A8E03800F37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4E69D5"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1NTQ1MTlhOTE2MmI4MzdiY2I3NTM2YjhjNWM4MjQifQ=="/>
  </w:docVars>
  <w:rsids>
    <w:rsidRoot w:val="0A1F1074"/>
    <w:rsid w:val="0A1F1074"/>
    <w:rsid w:val="0AFD6C1D"/>
    <w:rsid w:val="0D7417C9"/>
    <w:rsid w:val="114F61E9"/>
    <w:rsid w:val="2A44045E"/>
    <w:rsid w:val="2AF754D0"/>
    <w:rsid w:val="35626575"/>
    <w:rsid w:val="418C651A"/>
    <w:rsid w:val="45004CC5"/>
    <w:rsid w:val="4D0B0340"/>
    <w:rsid w:val="585B023D"/>
    <w:rsid w:val="5A2A37EF"/>
    <w:rsid w:val="606F2E37"/>
    <w:rsid w:val="611F660B"/>
    <w:rsid w:val="6A0C1115"/>
    <w:rsid w:val="74AE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1437</Words>
  <Characters>1440</Characters>
  <Lines>0</Lines>
  <Paragraphs>0</Paragraphs>
  <TotalTime>5</TotalTime>
  <ScaleCrop>false</ScaleCrop>
  <LinksUpToDate>false</LinksUpToDate>
  <CharactersWithSpaces>1441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2024-03-01T04:40:00Z</dcterms:created>
  <dc:creator>WPS_1481508166</dc:creator>
  <cp:lastModifiedBy>WPS_1481508166</cp:lastModifiedBy>
  <dcterms:modified xsi:type="dcterms:W3CDTF">2025-01-03T13:33:54Z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A6FEA282F8024D239A58C8D7AFE51248_11</vt:lpwstr>
  </property>
  <property fmtid="{D5CDD505-2E9C-101B-9397-08002B2CF9AE}" pid="4" name="KSOTemplateDocerSaveRecord">
    <vt:lpwstr>eyJoZGlkIjoiNmNhYmI3YzA3MDQyMjEzZWJlMGEzMWVkNjBlYzMzOTEiLCJ1c2VySWQiOiIyNTYxNDY5MTcifQ==</vt:lpwstr>
  </property>
</Properties>
</file>